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86EDD" w14:textId="77777777" w:rsidR="00FB17E8" w:rsidRPr="002C49F6" w:rsidRDefault="452BCD32" w:rsidP="452BCD32">
      <w:pPr>
        <w:pStyle w:val="NoSpacing"/>
        <w:outlineLvl w:val="0"/>
        <w:rPr>
          <w:b/>
          <w:bCs/>
          <w:sz w:val="32"/>
          <w:szCs w:val="32"/>
        </w:rPr>
      </w:pPr>
      <w:bookmarkStart w:id="0" w:name="_GoBack"/>
      <w:bookmarkEnd w:id="0"/>
      <w:r w:rsidRPr="452BCD32">
        <w:rPr>
          <w:b/>
          <w:bCs/>
          <w:sz w:val="32"/>
          <w:szCs w:val="32"/>
        </w:rPr>
        <w:t>Rebel Research Scholars</w:t>
      </w:r>
    </w:p>
    <w:p w14:paraId="0511F8D8" w14:textId="77777777" w:rsidR="00831E03" w:rsidRDefault="00831E03" w:rsidP="00831E03">
      <w:pPr>
        <w:pStyle w:val="NoSpacing"/>
      </w:pPr>
    </w:p>
    <w:p w14:paraId="1D8420CE" w14:textId="049E3804" w:rsidR="00831E03" w:rsidRDefault="00831E03" w:rsidP="00831E03">
      <w:pPr>
        <w:pStyle w:val="NoSpacing"/>
      </w:pPr>
      <w:r>
        <w:t>The Rebel</w:t>
      </w:r>
      <w:r w:rsidR="00BB04BB">
        <w:t xml:space="preserve"> Research </w:t>
      </w:r>
      <w:r>
        <w:t xml:space="preserve">Scholars program offers </w:t>
      </w:r>
      <w:r w:rsidR="00FB17E8">
        <w:t xml:space="preserve">services in support of </w:t>
      </w:r>
      <w:r>
        <w:t xml:space="preserve">faculty members and researchers at the University of Mississippi </w:t>
      </w:r>
      <w:r w:rsidR="00FB17E8">
        <w:t>who are hosting</w:t>
      </w:r>
      <w:r>
        <w:t xml:space="preserve"> high school students</w:t>
      </w:r>
      <w:r w:rsidR="00175048">
        <w:rPr>
          <w:rStyle w:val="FootnoteReference"/>
        </w:rPr>
        <w:footnoteReference w:id="1"/>
      </w:r>
      <w:r>
        <w:t xml:space="preserve"> for </w:t>
      </w:r>
      <w:r w:rsidR="00FB17E8">
        <w:t>residential and non-residential (commuter)</w:t>
      </w:r>
      <w:r w:rsidR="00403AB0">
        <w:t>, for-credit and not-for-credit</w:t>
      </w:r>
      <w:r w:rsidR="00FB17E8">
        <w:t xml:space="preserve"> summer </w:t>
      </w:r>
      <w:r>
        <w:t>experiential learning</w:t>
      </w:r>
      <w:r w:rsidR="00FB17E8">
        <w:t xml:space="preserve"> programs</w:t>
      </w:r>
      <w:r w:rsidR="00FB17E8">
        <w:rPr>
          <w:rStyle w:val="FootnoteReference"/>
        </w:rPr>
        <w:footnoteReference w:id="2"/>
      </w:r>
      <w:r w:rsidR="00FB17E8">
        <w:t xml:space="preserve">, including </w:t>
      </w:r>
      <w:r>
        <w:t xml:space="preserve">research, </w:t>
      </w:r>
      <w:r w:rsidR="00BB04BB">
        <w:t>field</w:t>
      </w:r>
      <w:r>
        <w:t xml:space="preserve">, </w:t>
      </w:r>
      <w:r w:rsidR="00FB17E8">
        <w:t xml:space="preserve">or </w:t>
      </w:r>
      <w:r>
        <w:t>service learning</w:t>
      </w:r>
      <w:r w:rsidR="00FB17E8">
        <w:t xml:space="preserve"> experiences</w:t>
      </w:r>
      <w:r>
        <w:t xml:space="preserve">. </w:t>
      </w:r>
    </w:p>
    <w:p w14:paraId="70EB4A5C" w14:textId="77777777" w:rsidR="00831E03" w:rsidRDefault="00831E03" w:rsidP="00831E03">
      <w:pPr>
        <w:pStyle w:val="NoSpacing"/>
      </w:pPr>
    </w:p>
    <w:p w14:paraId="029EE4AB" w14:textId="4ADC8A61" w:rsidR="00515887" w:rsidRPr="007A58BD" w:rsidRDefault="452BCD32" w:rsidP="007A58BD">
      <w:pPr>
        <w:pStyle w:val="NoSpacing"/>
        <w:outlineLvl w:val="0"/>
        <w:rPr>
          <w:b/>
          <w:bCs/>
          <w:color w:val="002060"/>
          <w:sz w:val="24"/>
          <w:szCs w:val="24"/>
        </w:rPr>
      </w:pPr>
      <w:r w:rsidRPr="452BCD32">
        <w:rPr>
          <w:b/>
          <w:bCs/>
          <w:color w:val="002060"/>
          <w:sz w:val="24"/>
          <w:szCs w:val="24"/>
        </w:rPr>
        <w:t>Summer Programming</w:t>
      </w:r>
    </w:p>
    <w:p w14:paraId="24B72820" w14:textId="77777777" w:rsidR="00BD0CA4" w:rsidRDefault="452BCD32" w:rsidP="00831E03">
      <w:pPr>
        <w:pStyle w:val="NoSpacing"/>
      </w:pPr>
      <w:r>
        <w:t xml:space="preserve">The Office of Pre-College Programs in the Division of Outreach and Continuing Education offers numerous summer programs and works with UM offices and academic departments to handle the logistics of pre-collegiate programming, including housing, meals, and supervision outside of the academic day. </w:t>
      </w:r>
    </w:p>
    <w:p w14:paraId="218B095A" w14:textId="77777777" w:rsidR="00BD0CA4" w:rsidRDefault="00BD0CA4" w:rsidP="00831E03">
      <w:pPr>
        <w:pStyle w:val="NoSpacing"/>
      </w:pPr>
    </w:p>
    <w:p w14:paraId="6DF2953D" w14:textId="77777777" w:rsidR="00515887" w:rsidRDefault="452BCD32" w:rsidP="00831E03">
      <w:pPr>
        <w:pStyle w:val="NoSpacing"/>
      </w:pPr>
      <w:r>
        <w:t>The purpose of summer programming is to aid in the academic and personal development of the student and introduce the student to college life in general and at the University of Mississippi.</w:t>
      </w:r>
    </w:p>
    <w:p w14:paraId="0E54334F" w14:textId="77777777" w:rsidR="00515887" w:rsidRDefault="00515887" w:rsidP="00831E03">
      <w:pPr>
        <w:pStyle w:val="NoSpacing"/>
      </w:pPr>
    </w:p>
    <w:p w14:paraId="4F4111C6" w14:textId="77777777" w:rsidR="00515887" w:rsidRPr="004827B6" w:rsidRDefault="452BCD32" w:rsidP="452BCD32">
      <w:pPr>
        <w:pStyle w:val="NoSpacing"/>
        <w:outlineLvl w:val="0"/>
        <w:rPr>
          <w:b/>
          <w:bCs/>
          <w:color w:val="002060"/>
          <w:sz w:val="24"/>
          <w:szCs w:val="24"/>
        </w:rPr>
      </w:pPr>
      <w:r w:rsidRPr="452BCD32">
        <w:rPr>
          <w:b/>
          <w:bCs/>
          <w:color w:val="002060"/>
          <w:sz w:val="24"/>
          <w:szCs w:val="24"/>
        </w:rPr>
        <w:t>Services</w:t>
      </w:r>
    </w:p>
    <w:p w14:paraId="0E53BBFD" w14:textId="77777777" w:rsidR="00807B3C" w:rsidRPr="000A2F38" w:rsidRDefault="452BCD32" w:rsidP="452BCD32">
      <w:pPr>
        <w:pStyle w:val="NoSpacing"/>
        <w:outlineLvl w:val="0"/>
        <w:rPr>
          <w:b/>
          <w:bCs/>
          <w:color w:val="FF0000"/>
        </w:rPr>
      </w:pPr>
      <w:r w:rsidRPr="452BCD32">
        <w:rPr>
          <w:b/>
          <w:bCs/>
          <w:color w:val="FF0000"/>
        </w:rPr>
        <w:t>Registration</w:t>
      </w:r>
    </w:p>
    <w:p w14:paraId="3D5F9155" w14:textId="77777777" w:rsidR="00BD0CA4" w:rsidRDefault="452BCD32" w:rsidP="00807B3C">
      <w:pPr>
        <w:pStyle w:val="NoSpacing"/>
      </w:pPr>
      <w:r>
        <w:t xml:space="preserve">The Office of Pre-College Programs will manage application and registration systems related to individual programs. Departments must submit a request for any specific information to be collected, such as essay questions. </w:t>
      </w:r>
    </w:p>
    <w:p w14:paraId="16573B1B" w14:textId="77777777" w:rsidR="00BD0CA4" w:rsidRDefault="00BD0CA4" w:rsidP="00807B3C">
      <w:pPr>
        <w:pStyle w:val="NoSpacing"/>
      </w:pPr>
    </w:p>
    <w:p w14:paraId="2B832A64" w14:textId="77777777" w:rsidR="00807B3C" w:rsidRDefault="452BCD32" w:rsidP="00807B3C">
      <w:pPr>
        <w:pStyle w:val="NoSpacing"/>
      </w:pPr>
      <w:r>
        <w:t xml:space="preserve">Applications for prospective students must be due by </w:t>
      </w:r>
      <w:r w:rsidRPr="452BCD32">
        <w:rPr>
          <w:b/>
          <w:bCs/>
        </w:rPr>
        <w:t>April 1st</w:t>
      </w:r>
      <w:r>
        <w:t xml:space="preserve"> and selections finalized by </w:t>
      </w:r>
      <w:r w:rsidRPr="452BCD32">
        <w:rPr>
          <w:b/>
          <w:bCs/>
        </w:rPr>
        <w:t>April 20th</w:t>
      </w:r>
      <w:r>
        <w:t xml:space="preserve">. Candidates will be emailed of their selection status by </w:t>
      </w:r>
      <w:r w:rsidRPr="452BCD32">
        <w:rPr>
          <w:b/>
          <w:bCs/>
        </w:rPr>
        <w:t>May 1st</w:t>
      </w:r>
      <w:r>
        <w:t>.</w:t>
      </w:r>
    </w:p>
    <w:p w14:paraId="61FDFEEA" w14:textId="77777777" w:rsidR="00807B3C" w:rsidRDefault="00807B3C" w:rsidP="00807B3C">
      <w:pPr>
        <w:pStyle w:val="NoSpacing"/>
      </w:pPr>
    </w:p>
    <w:p w14:paraId="682946E0" w14:textId="77777777" w:rsidR="00515887" w:rsidRPr="000A2F38" w:rsidRDefault="452BCD32" w:rsidP="452BCD32">
      <w:pPr>
        <w:pStyle w:val="NoSpacing"/>
        <w:outlineLvl w:val="0"/>
        <w:rPr>
          <w:b/>
          <w:bCs/>
          <w:color w:val="FF0000"/>
        </w:rPr>
      </w:pPr>
      <w:r w:rsidRPr="452BCD32">
        <w:rPr>
          <w:b/>
          <w:bCs/>
          <w:color w:val="FF0000"/>
        </w:rPr>
        <w:t>Student Housing</w:t>
      </w:r>
    </w:p>
    <w:p w14:paraId="1290E07C" w14:textId="022E587A" w:rsidR="00515887" w:rsidRDefault="452BCD32" w:rsidP="00515887">
      <w:pPr>
        <w:pStyle w:val="NoSpacing"/>
      </w:pPr>
      <w:r>
        <w:t xml:space="preserve">Student program participants will be designated </w:t>
      </w:r>
      <w:r w:rsidRPr="452BCD32">
        <w:rPr>
          <w:i/>
          <w:iCs/>
        </w:rPr>
        <w:t>Rebel Research Scholars</w:t>
      </w:r>
      <w:r>
        <w:t xml:space="preserve"> </w:t>
      </w:r>
      <w:r w:rsidRPr="452BCD32">
        <w:rPr>
          <w:i/>
          <w:iCs/>
        </w:rPr>
        <w:t>(Scholars</w:t>
      </w:r>
      <w:r>
        <w:t xml:space="preserve">) within the Office of Pre-College Programs. Those residing on campus will be further designated as </w:t>
      </w:r>
      <w:r w:rsidRPr="452BCD32">
        <w:rPr>
          <w:i/>
          <w:iCs/>
        </w:rPr>
        <w:t>Residential Scholars</w:t>
      </w:r>
      <w:r>
        <w:t xml:space="preserve"> and housed in the Residential College - South (RC) with other high school students enrolled in Pre-College Programs. Residential Scholars will move into the RC the Sunday before the program begins. Those not staying overnight will be sub-designated as </w:t>
      </w:r>
      <w:r w:rsidRPr="452BCD32">
        <w:rPr>
          <w:i/>
          <w:iCs/>
        </w:rPr>
        <w:t>Commuting Scholars</w:t>
      </w:r>
      <w:r>
        <w:t xml:space="preserve">. </w:t>
      </w:r>
    </w:p>
    <w:p w14:paraId="5B00B81B" w14:textId="77777777" w:rsidR="00515887" w:rsidRDefault="00515887" w:rsidP="00515887">
      <w:pPr>
        <w:pStyle w:val="NoSpacing"/>
      </w:pPr>
    </w:p>
    <w:p w14:paraId="45A3D374" w14:textId="77777777" w:rsidR="00515887" w:rsidRPr="000A2F38" w:rsidRDefault="452BCD32" w:rsidP="452BCD32">
      <w:pPr>
        <w:pStyle w:val="NoSpacing"/>
        <w:outlineLvl w:val="0"/>
        <w:rPr>
          <w:b/>
          <w:bCs/>
          <w:color w:val="FF0000"/>
        </w:rPr>
      </w:pPr>
      <w:r w:rsidRPr="452BCD32">
        <w:rPr>
          <w:b/>
          <w:bCs/>
          <w:color w:val="FF0000"/>
        </w:rPr>
        <w:t>Meals</w:t>
      </w:r>
    </w:p>
    <w:p w14:paraId="761ACAD8" w14:textId="63CD8430" w:rsidR="00515887" w:rsidRDefault="452BCD32" w:rsidP="00515887">
      <w:pPr>
        <w:pStyle w:val="NoSpacing"/>
      </w:pPr>
      <w:r>
        <w:t>Scholars will receive a meal plan based on the type of program attending, as well as their resident status. Residential meal plans include weekday breakfast, lunch, and dinner at the Rebel Market. Commuter meal plans only include lunch. Weekend meals are not included, either for Residential Scholars or Commuting Scholars. Residential Scholars will receive an orientation/move-in dinner in the RC Dining Hall.</w:t>
      </w:r>
    </w:p>
    <w:p w14:paraId="116EFC95" w14:textId="77777777" w:rsidR="007A58BD" w:rsidRDefault="007A58BD" w:rsidP="452BCD32">
      <w:pPr>
        <w:pStyle w:val="NoSpacing"/>
        <w:outlineLvl w:val="0"/>
        <w:rPr>
          <w:b/>
          <w:bCs/>
          <w:color w:val="FF0000"/>
        </w:rPr>
      </w:pPr>
    </w:p>
    <w:p w14:paraId="2905243E" w14:textId="09B575A5" w:rsidR="00515887" w:rsidRPr="000A2F38" w:rsidRDefault="452BCD32" w:rsidP="452BCD32">
      <w:pPr>
        <w:pStyle w:val="NoSpacing"/>
        <w:outlineLvl w:val="0"/>
        <w:rPr>
          <w:b/>
          <w:bCs/>
          <w:color w:val="FF0000"/>
        </w:rPr>
      </w:pPr>
      <w:r w:rsidRPr="452BCD32">
        <w:rPr>
          <w:b/>
          <w:bCs/>
          <w:color w:val="FF0000"/>
        </w:rPr>
        <w:lastRenderedPageBreak/>
        <w:t>Supervision</w:t>
      </w:r>
    </w:p>
    <w:p w14:paraId="454C20AF" w14:textId="2814D887" w:rsidR="00515887" w:rsidRDefault="452BCD32" w:rsidP="00515887">
      <w:pPr>
        <w:pStyle w:val="NoSpacing"/>
      </w:pPr>
      <w:r>
        <w:t>During the academic day, supervision of all Scholars is the responsibility of the individual program director, faculty/research mentors, and chairs/directors of the hosing department(s) or center(s). At all other times, Residential Scholars will be supervised by the Office of Pre-College Programs.</w:t>
      </w:r>
    </w:p>
    <w:p w14:paraId="148EC254" w14:textId="77777777" w:rsidR="00166451" w:rsidRDefault="00166451" w:rsidP="00515887">
      <w:pPr>
        <w:pStyle w:val="NoSpacing"/>
      </w:pPr>
    </w:p>
    <w:p w14:paraId="43C1C172" w14:textId="77777777" w:rsidR="00166451" w:rsidRPr="000A2F38" w:rsidRDefault="452BCD32" w:rsidP="452BCD32">
      <w:pPr>
        <w:pStyle w:val="NoSpacing"/>
        <w:outlineLvl w:val="0"/>
        <w:rPr>
          <w:b/>
          <w:bCs/>
          <w:color w:val="FF0000"/>
        </w:rPr>
      </w:pPr>
      <w:r w:rsidRPr="452BCD32">
        <w:rPr>
          <w:b/>
          <w:bCs/>
          <w:color w:val="FF0000"/>
        </w:rPr>
        <w:t>Activities and Entertainment</w:t>
      </w:r>
    </w:p>
    <w:p w14:paraId="21D1E506" w14:textId="0BF3F434" w:rsidR="006540C9" w:rsidRDefault="452BCD32" w:rsidP="00515887">
      <w:pPr>
        <w:pStyle w:val="NoSpacing"/>
      </w:pPr>
      <w:r>
        <w:t>After the academic day, Commuting Scholars are dismissed, and Residential Scholars will return to the residence hall to participate in afternoon announcements and recreational time with their community. Activities typically include sports/recreation, tours of UM campus and facilities, and guest speakers.</w:t>
      </w:r>
    </w:p>
    <w:p w14:paraId="0C4BD8BF" w14:textId="77777777" w:rsidR="000A2F38" w:rsidRDefault="000A2F38" w:rsidP="00515887">
      <w:pPr>
        <w:pStyle w:val="NoSpacing"/>
      </w:pPr>
    </w:p>
    <w:p w14:paraId="54C6C864" w14:textId="77777777" w:rsidR="000A2F38" w:rsidRPr="000A2F38" w:rsidRDefault="452BCD32" w:rsidP="452BCD32">
      <w:pPr>
        <w:pStyle w:val="NoSpacing"/>
        <w:outlineLvl w:val="0"/>
        <w:rPr>
          <w:b/>
          <w:bCs/>
          <w:color w:val="FF0000"/>
        </w:rPr>
      </w:pPr>
      <w:r w:rsidRPr="452BCD32">
        <w:rPr>
          <w:b/>
          <w:bCs/>
          <w:color w:val="FF0000"/>
        </w:rPr>
        <w:t>UM Credit</w:t>
      </w:r>
    </w:p>
    <w:p w14:paraId="69027639" w14:textId="678E9AD0" w:rsidR="006540C9" w:rsidRDefault="452BCD32" w:rsidP="004827B6">
      <w:pPr>
        <w:pStyle w:val="NoSpacing"/>
        <w:outlineLvl w:val="0"/>
      </w:pPr>
      <w:r>
        <w:t>Scholars may enroll as UM students for variable cours</w:t>
      </w:r>
      <w:r w:rsidR="00803830">
        <w:t>e credit in LIBA 100 or BIO 100 or another course as noted by the program.</w:t>
      </w:r>
    </w:p>
    <w:p w14:paraId="1E7E5701" w14:textId="77777777" w:rsidR="006540C9" w:rsidRDefault="006540C9" w:rsidP="00515887">
      <w:pPr>
        <w:pStyle w:val="NoSpacing"/>
      </w:pPr>
    </w:p>
    <w:p w14:paraId="6FDC8339" w14:textId="7A2AE6CD" w:rsidR="000A2F38" w:rsidRDefault="452BCD32" w:rsidP="00515887">
      <w:pPr>
        <w:pStyle w:val="NoSpacing"/>
      </w:pPr>
      <w:r>
        <w:t xml:space="preserve">In order to receive dual credit at UM and their home high schools, </w:t>
      </w:r>
      <w:r w:rsidR="00803830">
        <w:t>s</w:t>
      </w:r>
      <w:r>
        <w:t>cholars must meet UM early admissions criteria and complete the Dual Credit paperwork with the Office of Pre-College Programs.</w:t>
      </w:r>
    </w:p>
    <w:p w14:paraId="79A314F2" w14:textId="77777777" w:rsidR="000A2F38" w:rsidRDefault="000A2F38" w:rsidP="00515887">
      <w:pPr>
        <w:pStyle w:val="NoSpacing"/>
      </w:pPr>
    </w:p>
    <w:p w14:paraId="00676FD8" w14:textId="77777777" w:rsidR="000A2F38" w:rsidRPr="000A2F38" w:rsidRDefault="452BCD32" w:rsidP="452BCD32">
      <w:pPr>
        <w:pStyle w:val="NoSpacing"/>
        <w:outlineLvl w:val="0"/>
        <w:rPr>
          <w:b/>
          <w:bCs/>
          <w:color w:val="FF0000"/>
        </w:rPr>
      </w:pPr>
      <w:r w:rsidRPr="452BCD32">
        <w:rPr>
          <w:b/>
          <w:bCs/>
          <w:color w:val="FF0000"/>
        </w:rPr>
        <w:t>Scholarships</w:t>
      </w:r>
    </w:p>
    <w:p w14:paraId="11EAE02F" w14:textId="34EFFD0E" w:rsidR="00272AE6" w:rsidRPr="00272AE6" w:rsidRDefault="00272AE6" w:rsidP="00515887">
      <w:pPr>
        <w:pStyle w:val="NoSpacing"/>
        <w:rPr>
          <w:i/>
        </w:rPr>
      </w:pPr>
      <w:r>
        <w:rPr>
          <w:i/>
        </w:rPr>
        <w:t>S</w:t>
      </w:r>
      <w:r w:rsidRPr="00272AE6">
        <w:rPr>
          <w:i/>
        </w:rPr>
        <w:t>ummer Residential:</w:t>
      </w:r>
    </w:p>
    <w:p w14:paraId="14F54AC5" w14:textId="5A1ACBCA" w:rsidR="002C49F6" w:rsidRDefault="00A93467" w:rsidP="00515887">
      <w:pPr>
        <w:pStyle w:val="NoSpacing"/>
      </w:pPr>
      <w:r>
        <w:t>Tuition should be built into a grant budget when tuition is an allowable expense. If the grant does not allow for tuition expenses, s</w:t>
      </w:r>
      <w:r w:rsidR="452BCD32">
        <w:t xml:space="preserve">cholars participating in for-credit programs </w:t>
      </w:r>
      <w:r>
        <w:t>may</w:t>
      </w:r>
      <w:r w:rsidR="452BCD32">
        <w:t xml:space="preserve"> </w:t>
      </w:r>
      <w:r>
        <w:t>be eligible for</w:t>
      </w:r>
      <w:r w:rsidR="452BCD32">
        <w:t xml:space="preserve"> tuition scholarship</w:t>
      </w:r>
      <w:r>
        <w:t>s</w:t>
      </w:r>
      <w:r w:rsidR="452BCD32">
        <w:t xml:space="preserve"> from the Division of Outreach; this </w:t>
      </w:r>
      <w:r>
        <w:t xml:space="preserve">scholarship </w:t>
      </w:r>
      <w:r w:rsidR="452BCD32">
        <w:t xml:space="preserve">does </w:t>
      </w:r>
      <w:r w:rsidR="452BCD32" w:rsidRPr="452BCD32">
        <w:rPr>
          <w:b/>
          <w:bCs/>
        </w:rPr>
        <w:t>not</w:t>
      </w:r>
      <w:r w:rsidR="452BCD32">
        <w:t xml:space="preserve"> cover program-related fees, such as housing, meals, or program supervisory fee.</w:t>
      </w:r>
      <w:r>
        <w:t xml:space="preserve"> </w:t>
      </w:r>
      <w:r w:rsidR="452BCD32">
        <w:t>Scholars may also qualify for an ACT/SAT scholarship to help with housing fees and/or meal plan as noted by the Summer College ACT guidelines. ACT/SAT scholarships are applicable only for Scholars in month-long, for-credit programs.</w:t>
      </w:r>
    </w:p>
    <w:p w14:paraId="2A0B75E6" w14:textId="14B6C476" w:rsidR="00272AE6" w:rsidRDefault="00272AE6" w:rsidP="00515887">
      <w:pPr>
        <w:pStyle w:val="NoSpacing"/>
      </w:pPr>
    </w:p>
    <w:p w14:paraId="429B966B" w14:textId="7B2CD460" w:rsidR="00272AE6" w:rsidRDefault="00272AE6" w:rsidP="00515887">
      <w:pPr>
        <w:pStyle w:val="NoSpacing"/>
      </w:pPr>
      <w:r w:rsidRPr="00272AE6">
        <w:rPr>
          <w:i/>
        </w:rPr>
        <w:t>Summer or Academic Year Non-Residential</w:t>
      </w:r>
      <w:r>
        <w:t xml:space="preserve">: </w:t>
      </w:r>
    </w:p>
    <w:p w14:paraId="01DC6C67" w14:textId="6C3E93E9" w:rsidR="00272AE6" w:rsidRDefault="00272AE6" w:rsidP="00515887">
      <w:pPr>
        <w:pStyle w:val="NoSpacing"/>
      </w:pPr>
      <w:r>
        <w:t xml:space="preserve">Students participating in for-credit programs will receive a half-tuition scholarship from the Division of Outreach.  </w:t>
      </w:r>
    </w:p>
    <w:p w14:paraId="21422503" w14:textId="77777777" w:rsidR="00807B3C" w:rsidRDefault="00807B3C" w:rsidP="00515887">
      <w:pPr>
        <w:pStyle w:val="NoSpacing"/>
        <w:rPr>
          <w:b/>
          <w:color w:val="002060"/>
          <w:sz w:val="28"/>
        </w:rPr>
      </w:pPr>
    </w:p>
    <w:p w14:paraId="3AC58094" w14:textId="77777777" w:rsidR="00272AE6" w:rsidRDefault="00272AE6" w:rsidP="452BCD32">
      <w:pPr>
        <w:pStyle w:val="NoSpacing"/>
        <w:outlineLvl w:val="0"/>
        <w:rPr>
          <w:b/>
          <w:bCs/>
          <w:color w:val="002060"/>
          <w:sz w:val="24"/>
          <w:szCs w:val="24"/>
        </w:rPr>
      </w:pPr>
    </w:p>
    <w:p w14:paraId="1D7382C0" w14:textId="77777777" w:rsidR="00272AE6" w:rsidRDefault="00272AE6" w:rsidP="452BCD32">
      <w:pPr>
        <w:pStyle w:val="NoSpacing"/>
        <w:outlineLvl w:val="0"/>
        <w:rPr>
          <w:b/>
          <w:bCs/>
          <w:color w:val="002060"/>
          <w:sz w:val="24"/>
          <w:szCs w:val="24"/>
        </w:rPr>
      </w:pPr>
    </w:p>
    <w:p w14:paraId="0A2B772E" w14:textId="77777777" w:rsidR="00272AE6" w:rsidRDefault="00272AE6" w:rsidP="452BCD32">
      <w:pPr>
        <w:pStyle w:val="NoSpacing"/>
        <w:outlineLvl w:val="0"/>
        <w:rPr>
          <w:b/>
          <w:bCs/>
          <w:color w:val="002060"/>
          <w:sz w:val="24"/>
          <w:szCs w:val="24"/>
        </w:rPr>
      </w:pPr>
    </w:p>
    <w:p w14:paraId="35AC6AE3" w14:textId="77777777" w:rsidR="00272AE6" w:rsidRDefault="00272AE6" w:rsidP="452BCD32">
      <w:pPr>
        <w:pStyle w:val="NoSpacing"/>
        <w:outlineLvl w:val="0"/>
        <w:rPr>
          <w:b/>
          <w:bCs/>
          <w:color w:val="002060"/>
          <w:sz w:val="24"/>
          <w:szCs w:val="24"/>
        </w:rPr>
      </w:pPr>
    </w:p>
    <w:p w14:paraId="7297FA51" w14:textId="77777777" w:rsidR="00272AE6" w:rsidRDefault="00272AE6" w:rsidP="452BCD32">
      <w:pPr>
        <w:pStyle w:val="NoSpacing"/>
        <w:outlineLvl w:val="0"/>
        <w:rPr>
          <w:b/>
          <w:bCs/>
          <w:color w:val="002060"/>
          <w:sz w:val="24"/>
          <w:szCs w:val="24"/>
        </w:rPr>
      </w:pPr>
    </w:p>
    <w:p w14:paraId="626C2714" w14:textId="77777777" w:rsidR="00272AE6" w:rsidRDefault="00272AE6" w:rsidP="452BCD32">
      <w:pPr>
        <w:pStyle w:val="NoSpacing"/>
        <w:outlineLvl w:val="0"/>
        <w:rPr>
          <w:b/>
          <w:bCs/>
          <w:color w:val="002060"/>
          <w:sz w:val="24"/>
          <w:szCs w:val="24"/>
        </w:rPr>
      </w:pPr>
    </w:p>
    <w:p w14:paraId="0328ACB3" w14:textId="77777777" w:rsidR="00272AE6" w:rsidRDefault="00272AE6" w:rsidP="452BCD32">
      <w:pPr>
        <w:pStyle w:val="NoSpacing"/>
        <w:outlineLvl w:val="0"/>
        <w:rPr>
          <w:b/>
          <w:bCs/>
          <w:color w:val="002060"/>
          <w:sz w:val="24"/>
          <w:szCs w:val="24"/>
        </w:rPr>
      </w:pPr>
    </w:p>
    <w:p w14:paraId="2C5EFFA2" w14:textId="77777777" w:rsidR="00272AE6" w:rsidRDefault="00272AE6" w:rsidP="452BCD32">
      <w:pPr>
        <w:pStyle w:val="NoSpacing"/>
        <w:outlineLvl w:val="0"/>
        <w:rPr>
          <w:b/>
          <w:bCs/>
          <w:color w:val="002060"/>
          <w:sz w:val="24"/>
          <w:szCs w:val="24"/>
        </w:rPr>
      </w:pPr>
    </w:p>
    <w:p w14:paraId="334BB9D6" w14:textId="77777777" w:rsidR="00272AE6" w:rsidRDefault="00272AE6" w:rsidP="452BCD32">
      <w:pPr>
        <w:pStyle w:val="NoSpacing"/>
        <w:outlineLvl w:val="0"/>
        <w:rPr>
          <w:b/>
          <w:bCs/>
          <w:color w:val="002060"/>
          <w:sz w:val="24"/>
          <w:szCs w:val="24"/>
        </w:rPr>
      </w:pPr>
    </w:p>
    <w:p w14:paraId="5A710506" w14:textId="77777777" w:rsidR="00272AE6" w:rsidRDefault="00272AE6" w:rsidP="452BCD32">
      <w:pPr>
        <w:pStyle w:val="NoSpacing"/>
        <w:outlineLvl w:val="0"/>
        <w:rPr>
          <w:b/>
          <w:bCs/>
          <w:color w:val="002060"/>
          <w:sz w:val="24"/>
          <w:szCs w:val="24"/>
        </w:rPr>
      </w:pPr>
    </w:p>
    <w:p w14:paraId="29F427BB" w14:textId="77777777" w:rsidR="00272AE6" w:rsidRDefault="00272AE6" w:rsidP="452BCD32">
      <w:pPr>
        <w:pStyle w:val="NoSpacing"/>
        <w:outlineLvl w:val="0"/>
        <w:rPr>
          <w:b/>
          <w:bCs/>
          <w:color w:val="002060"/>
          <w:sz w:val="24"/>
          <w:szCs w:val="24"/>
        </w:rPr>
      </w:pPr>
    </w:p>
    <w:p w14:paraId="4F541C62" w14:textId="77777777" w:rsidR="00272AE6" w:rsidRDefault="00272AE6" w:rsidP="452BCD32">
      <w:pPr>
        <w:pStyle w:val="NoSpacing"/>
        <w:outlineLvl w:val="0"/>
        <w:rPr>
          <w:b/>
          <w:bCs/>
          <w:color w:val="002060"/>
          <w:sz w:val="24"/>
          <w:szCs w:val="24"/>
        </w:rPr>
      </w:pPr>
    </w:p>
    <w:p w14:paraId="52E7E22B" w14:textId="77777777" w:rsidR="00272AE6" w:rsidRDefault="00272AE6" w:rsidP="452BCD32">
      <w:pPr>
        <w:pStyle w:val="NoSpacing"/>
        <w:outlineLvl w:val="0"/>
        <w:rPr>
          <w:b/>
          <w:bCs/>
          <w:color w:val="002060"/>
          <w:sz w:val="24"/>
          <w:szCs w:val="24"/>
        </w:rPr>
      </w:pPr>
    </w:p>
    <w:p w14:paraId="34E58048" w14:textId="77777777" w:rsidR="00272AE6" w:rsidRDefault="00272AE6" w:rsidP="452BCD32">
      <w:pPr>
        <w:pStyle w:val="NoSpacing"/>
        <w:outlineLvl w:val="0"/>
        <w:rPr>
          <w:b/>
          <w:bCs/>
          <w:color w:val="002060"/>
          <w:sz w:val="24"/>
          <w:szCs w:val="24"/>
        </w:rPr>
      </w:pPr>
    </w:p>
    <w:p w14:paraId="6E05AFC9" w14:textId="77777777" w:rsidR="00272AE6" w:rsidRDefault="00272AE6" w:rsidP="452BCD32">
      <w:pPr>
        <w:pStyle w:val="NoSpacing"/>
        <w:outlineLvl w:val="0"/>
        <w:rPr>
          <w:b/>
          <w:bCs/>
          <w:color w:val="002060"/>
          <w:sz w:val="24"/>
          <w:szCs w:val="24"/>
        </w:rPr>
      </w:pPr>
    </w:p>
    <w:p w14:paraId="0692BFFE" w14:textId="77777777" w:rsidR="00272AE6" w:rsidRDefault="00272AE6" w:rsidP="452BCD32">
      <w:pPr>
        <w:pStyle w:val="NoSpacing"/>
        <w:outlineLvl w:val="0"/>
        <w:rPr>
          <w:b/>
          <w:bCs/>
          <w:color w:val="002060"/>
          <w:sz w:val="24"/>
          <w:szCs w:val="24"/>
        </w:rPr>
      </w:pPr>
    </w:p>
    <w:p w14:paraId="05A2329E" w14:textId="77777777" w:rsidR="00272AE6" w:rsidRDefault="00272AE6" w:rsidP="452BCD32">
      <w:pPr>
        <w:pStyle w:val="NoSpacing"/>
        <w:outlineLvl w:val="0"/>
        <w:rPr>
          <w:b/>
          <w:bCs/>
          <w:color w:val="002060"/>
          <w:sz w:val="24"/>
          <w:szCs w:val="24"/>
        </w:rPr>
      </w:pPr>
    </w:p>
    <w:p w14:paraId="569808AB" w14:textId="77777777" w:rsidR="00272AE6" w:rsidRDefault="00272AE6" w:rsidP="452BCD32">
      <w:pPr>
        <w:pStyle w:val="NoSpacing"/>
        <w:outlineLvl w:val="0"/>
        <w:rPr>
          <w:b/>
          <w:bCs/>
          <w:color w:val="002060"/>
          <w:sz w:val="24"/>
          <w:szCs w:val="24"/>
        </w:rPr>
      </w:pPr>
    </w:p>
    <w:p w14:paraId="01929579" w14:textId="6459CE58" w:rsidR="002C49F6" w:rsidRPr="004827B6" w:rsidRDefault="452BCD32" w:rsidP="452BCD32">
      <w:pPr>
        <w:pStyle w:val="NoSpacing"/>
        <w:outlineLvl w:val="0"/>
        <w:rPr>
          <w:b/>
          <w:bCs/>
          <w:color w:val="002060"/>
          <w:sz w:val="24"/>
          <w:szCs w:val="24"/>
        </w:rPr>
      </w:pPr>
      <w:r w:rsidRPr="452BCD32">
        <w:rPr>
          <w:b/>
          <w:bCs/>
          <w:color w:val="002060"/>
          <w:sz w:val="24"/>
          <w:szCs w:val="24"/>
        </w:rPr>
        <w:t>Program Models and Costs</w:t>
      </w:r>
      <w:r w:rsidR="00A93467">
        <w:rPr>
          <w:b/>
          <w:bCs/>
          <w:color w:val="002060"/>
          <w:sz w:val="24"/>
          <w:szCs w:val="24"/>
          <w:vertAlign w:val="superscript"/>
        </w:rPr>
        <w:t>6</w:t>
      </w:r>
    </w:p>
    <w:tbl>
      <w:tblPr>
        <w:tblStyle w:val="TableGrid"/>
        <w:tblW w:w="0" w:type="auto"/>
        <w:tblLook w:val="04A0" w:firstRow="1" w:lastRow="0" w:firstColumn="1" w:lastColumn="0" w:noHBand="0" w:noVBand="1"/>
      </w:tblPr>
      <w:tblGrid>
        <w:gridCol w:w="2615"/>
        <w:gridCol w:w="1379"/>
        <w:gridCol w:w="1380"/>
        <w:gridCol w:w="1145"/>
        <w:gridCol w:w="1146"/>
        <w:gridCol w:w="1305"/>
      </w:tblGrid>
      <w:tr w:rsidR="002C49F6" w:rsidRPr="002C49F6" w14:paraId="7EC360B2" w14:textId="77777777" w:rsidTr="001E5A7C">
        <w:trPr>
          <w:trHeight w:val="412"/>
        </w:trPr>
        <w:tc>
          <w:tcPr>
            <w:tcW w:w="2615" w:type="dxa"/>
            <w:noWrap/>
            <w:vAlign w:val="center"/>
            <w:hideMark/>
          </w:tcPr>
          <w:p w14:paraId="6F7CEAF7" w14:textId="77777777" w:rsidR="002C49F6" w:rsidRPr="002C49F6" w:rsidRDefault="002C49F6" w:rsidP="002C49F6">
            <w:pPr>
              <w:pStyle w:val="NoSpacing"/>
              <w:jc w:val="center"/>
              <w:rPr>
                <w:sz w:val="16"/>
                <w:szCs w:val="16"/>
              </w:rPr>
            </w:pPr>
          </w:p>
        </w:tc>
        <w:tc>
          <w:tcPr>
            <w:tcW w:w="5050" w:type="dxa"/>
            <w:gridSpan w:val="4"/>
            <w:shd w:val="clear" w:color="auto" w:fill="FF0000"/>
            <w:noWrap/>
            <w:vAlign w:val="center"/>
            <w:hideMark/>
          </w:tcPr>
          <w:p w14:paraId="264F05C9" w14:textId="72FE7D7A" w:rsidR="002C49F6" w:rsidRPr="004827B6" w:rsidRDefault="452BCD32" w:rsidP="452BCD32">
            <w:pPr>
              <w:pStyle w:val="NoSpacing"/>
              <w:jc w:val="center"/>
              <w:rPr>
                <w:b/>
                <w:bCs/>
                <w:color w:val="FFFFFF" w:themeColor="background1"/>
                <w:sz w:val="16"/>
                <w:szCs w:val="16"/>
              </w:rPr>
            </w:pPr>
            <w:r w:rsidRPr="452BCD32">
              <w:rPr>
                <w:b/>
                <w:bCs/>
                <w:color w:val="FFFFFF" w:themeColor="background1"/>
                <w:sz w:val="16"/>
                <w:szCs w:val="16"/>
              </w:rPr>
              <w:t>Residential Scholar</w:t>
            </w:r>
          </w:p>
        </w:tc>
        <w:tc>
          <w:tcPr>
            <w:tcW w:w="1305" w:type="dxa"/>
            <w:shd w:val="clear" w:color="auto" w:fill="002060"/>
            <w:noWrap/>
            <w:vAlign w:val="center"/>
            <w:hideMark/>
          </w:tcPr>
          <w:p w14:paraId="409DBF5E" w14:textId="381999F1" w:rsidR="002C49F6" w:rsidRPr="002C49F6" w:rsidRDefault="452BCD32" w:rsidP="452BCD32">
            <w:pPr>
              <w:pStyle w:val="NoSpacing"/>
              <w:jc w:val="center"/>
              <w:rPr>
                <w:b/>
                <w:bCs/>
                <w:sz w:val="16"/>
                <w:szCs w:val="16"/>
              </w:rPr>
            </w:pPr>
            <w:r w:rsidRPr="452BCD32">
              <w:rPr>
                <w:b/>
                <w:bCs/>
                <w:sz w:val="16"/>
                <w:szCs w:val="16"/>
              </w:rPr>
              <w:t>Commuting Scholar</w:t>
            </w:r>
            <w:r w:rsidR="00272AE6" w:rsidRPr="00272AE6">
              <w:rPr>
                <w:b/>
                <w:bCs/>
                <w:sz w:val="16"/>
                <w:szCs w:val="16"/>
                <w:vertAlign w:val="superscript"/>
              </w:rPr>
              <w:t>4</w:t>
            </w:r>
          </w:p>
        </w:tc>
      </w:tr>
      <w:tr w:rsidR="001E5A7C" w:rsidRPr="002C49F6" w14:paraId="7C3AE6BC" w14:textId="77777777" w:rsidTr="001E5A7C">
        <w:trPr>
          <w:trHeight w:val="368"/>
        </w:trPr>
        <w:tc>
          <w:tcPr>
            <w:tcW w:w="2615" w:type="dxa"/>
            <w:noWrap/>
            <w:vAlign w:val="center"/>
            <w:hideMark/>
          </w:tcPr>
          <w:p w14:paraId="28618DEB" w14:textId="77777777" w:rsidR="001E5A7C" w:rsidRPr="002C49F6" w:rsidRDefault="001E5A7C" w:rsidP="002C49F6">
            <w:pPr>
              <w:pStyle w:val="NoSpacing"/>
              <w:jc w:val="center"/>
              <w:rPr>
                <w:b/>
                <w:bCs/>
                <w:sz w:val="16"/>
                <w:szCs w:val="16"/>
              </w:rPr>
            </w:pPr>
          </w:p>
        </w:tc>
        <w:tc>
          <w:tcPr>
            <w:tcW w:w="2759" w:type="dxa"/>
            <w:gridSpan w:val="2"/>
            <w:noWrap/>
            <w:vAlign w:val="center"/>
            <w:hideMark/>
          </w:tcPr>
          <w:p w14:paraId="418E3096" w14:textId="493E0697" w:rsidR="001E5A7C" w:rsidRPr="002C49F6" w:rsidRDefault="001E5A7C" w:rsidP="452BCD32">
            <w:pPr>
              <w:pStyle w:val="NoSpacing"/>
              <w:jc w:val="center"/>
              <w:rPr>
                <w:b/>
                <w:bCs/>
                <w:sz w:val="16"/>
                <w:szCs w:val="16"/>
              </w:rPr>
            </w:pPr>
            <w:r w:rsidRPr="002C49F6">
              <w:rPr>
                <w:b/>
                <w:bCs/>
                <w:sz w:val="16"/>
                <w:szCs w:val="16"/>
              </w:rPr>
              <w:t>Credit</w:t>
            </w:r>
            <w:r>
              <w:rPr>
                <w:rStyle w:val="FootnoteReference"/>
                <w:b/>
                <w:bCs/>
                <w:sz w:val="16"/>
                <w:szCs w:val="16"/>
              </w:rPr>
              <w:footnoteReference w:id="3"/>
            </w:r>
          </w:p>
        </w:tc>
        <w:tc>
          <w:tcPr>
            <w:tcW w:w="2291" w:type="dxa"/>
            <w:gridSpan w:val="2"/>
            <w:noWrap/>
            <w:vAlign w:val="center"/>
            <w:hideMark/>
          </w:tcPr>
          <w:p w14:paraId="06EAB786" w14:textId="77777777" w:rsidR="001E5A7C" w:rsidRPr="002C49F6" w:rsidRDefault="001E5A7C" w:rsidP="452BCD32">
            <w:pPr>
              <w:pStyle w:val="NoSpacing"/>
              <w:jc w:val="center"/>
              <w:rPr>
                <w:b/>
                <w:bCs/>
                <w:sz w:val="16"/>
                <w:szCs w:val="16"/>
              </w:rPr>
            </w:pPr>
            <w:proofErr w:type="gramStart"/>
            <w:r w:rsidRPr="452BCD32">
              <w:rPr>
                <w:b/>
                <w:bCs/>
                <w:sz w:val="16"/>
                <w:szCs w:val="16"/>
              </w:rPr>
              <w:t>Non Credit</w:t>
            </w:r>
            <w:proofErr w:type="gramEnd"/>
          </w:p>
        </w:tc>
        <w:tc>
          <w:tcPr>
            <w:tcW w:w="1305" w:type="dxa"/>
            <w:noWrap/>
            <w:vAlign w:val="center"/>
            <w:hideMark/>
          </w:tcPr>
          <w:p w14:paraId="758F38AA" w14:textId="77777777" w:rsidR="001E5A7C" w:rsidRPr="002C49F6" w:rsidRDefault="001E5A7C" w:rsidP="452BCD32">
            <w:pPr>
              <w:pStyle w:val="NoSpacing"/>
              <w:jc w:val="center"/>
              <w:rPr>
                <w:b/>
                <w:bCs/>
                <w:sz w:val="16"/>
                <w:szCs w:val="16"/>
              </w:rPr>
            </w:pPr>
            <w:r w:rsidRPr="452BCD32">
              <w:rPr>
                <w:b/>
                <w:bCs/>
                <w:sz w:val="16"/>
                <w:szCs w:val="16"/>
              </w:rPr>
              <w:t>Credit</w:t>
            </w:r>
          </w:p>
        </w:tc>
      </w:tr>
      <w:tr w:rsidR="001E5A7C" w:rsidRPr="002C49F6" w14:paraId="5FD58ADE" w14:textId="77777777" w:rsidTr="001E5A7C">
        <w:trPr>
          <w:trHeight w:val="324"/>
        </w:trPr>
        <w:tc>
          <w:tcPr>
            <w:tcW w:w="2615" w:type="dxa"/>
            <w:noWrap/>
            <w:vAlign w:val="center"/>
            <w:hideMark/>
          </w:tcPr>
          <w:p w14:paraId="7AB2AEBB" w14:textId="77777777" w:rsidR="001E5A7C" w:rsidRPr="002C49F6" w:rsidRDefault="001E5A7C" w:rsidP="452BCD32">
            <w:pPr>
              <w:pStyle w:val="NoSpacing"/>
              <w:jc w:val="center"/>
              <w:rPr>
                <w:b/>
                <w:bCs/>
                <w:sz w:val="16"/>
                <w:szCs w:val="16"/>
              </w:rPr>
            </w:pPr>
            <w:r w:rsidRPr="452BCD32">
              <w:rPr>
                <w:b/>
                <w:bCs/>
                <w:sz w:val="16"/>
                <w:szCs w:val="16"/>
              </w:rPr>
              <w:t>EXPENSES (per student)</w:t>
            </w:r>
          </w:p>
        </w:tc>
        <w:tc>
          <w:tcPr>
            <w:tcW w:w="1379" w:type="dxa"/>
            <w:noWrap/>
            <w:vAlign w:val="center"/>
            <w:hideMark/>
          </w:tcPr>
          <w:p w14:paraId="33E646A0" w14:textId="77777777" w:rsidR="001E5A7C" w:rsidRPr="002C49F6" w:rsidRDefault="001E5A7C" w:rsidP="452BCD32">
            <w:pPr>
              <w:pStyle w:val="NoSpacing"/>
              <w:jc w:val="center"/>
              <w:rPr>
                <w:b/>
                <w:bCs/>
                <w:sz w:val="16"/>
                <w:szCs w:val="16"/>
              </w:rPr>
            </w:pPr>
            <w:r w:rsidRPr="452BCD32">
              <w:rPr>
                <w:b/>
                <w:bCs/>
                <w:sz w:val="16"/>
                <w:szCs w:val="16"/>
              </w:rPr>
              <w:t>4-Wk SC Model</w:t>
            </w:r>
          </w:p>
        </w:tc>
        <w:tc>
          <w:tcPr>
            <w:tcW w:w="1380" w:type="dxa"/>
            <w:noWrap/>
            <w:vAlign w:val="center"/>
            <w:hideMark/>
          </w:tcPr>
          <w:p w14:paraId="24304A5C" w14:textId="77777777" w:rsidR="001E5A7C" w:rsidRPr="002C49F6" w:rsidRDefault="001E5A7C" w:rsidP="452BCD32">
            <w:pPr>
              <w:pStyle w:val="NoSpacing"/>
              <w:jc w:val="center"/>
              <w:rPr>
                <w:b/>
                <w:bCs/>
                <w:sz w:val="16"/>
                <w:szCs w:val="16"/>
              </w:rPr>
            </w:pPr>
            <w:r w:rsidRPr="452BCD32">
              <w:rPr>
                <w:b/>
                <w:bCs/>
                <w:sz w:val="16"/>
                <w:szCs w:val="16"/>
              </w:rPr>
              <w:t>8-Wk SC Model</w:t>
            </w:r>
          </w:p>
        </w:tc>
        <w:tc>
          <w:tcPr>
            <w:tcW w:w="1145" w:type="dxa"/>
            <w:noWrap/>
            <w:vAlign w:val="center"/>
            <w:hideMark/>
          </w:tcPr>
          <w:p w14:paraId="6BA163EA" w14:textId="77777777" w:rsidR="001E5A7C" w:rsidRPr="002C49F6" w:rsidRDefault="001E5A7C" w:rsidP="452BCD32">
            <w:pPr>
              <w:pStyle w:val="NoSpacing"/>
              <w:jc w:val="center"/>
              <w:rPr>
                <w:b/>
                <w:bCs/>
                <w:sz w:val="16"/>
                <w:szCs w:val="16"/>
              </w:rPr>
            </w:pPr>
            <w:r w:rsidRPr="452BCD32">
              <w:rPr>
                <w:b/>
                <w:bCs/>
                <w:sz w:val="16"/>
                <w:szCs w:val="16"/>
              </w:rPr>
              <w:t>4-Wk Model</w:t>
            </w:r>
          </w:p>
        </w:tc>
        <w:tc>
          <w:tcPr>
            <w:tcW w:w="1146" w:type="dxa"/>
            <w:noWrap/>
            <w:vAlign w:val="center"/>
            <w:hideMark/>
          </w:tcPr>
          <w:p w14:paraId="29830690" w14:textId="77777777" w:rsidR="001E5A7C" w:rsidRPr="002C49F6" w:rsidRDefault="001E5A7C" w:rsidP="452BCD32">
            <w:pPr>
              <w:pStyle w:val="NoSpacing"/>
              <w:jc w:val="center"/>
              <w:rPr>
                <w:b/>
                <w:bCs/>
                <w:sz w:val="16"/>
                <w:szCs w:val="16"/>
              </w:rPr>
            </w:pPr>
            <w:r w:rsidRPr="452BCD32">
              <w:rPr>
                <w:b/>
                <w:bCs/>
                <w:sz w:val="16"/>
                <w:szCs w:val="16"/>
              </w:rPr>
              <w:t>1-Wk Model</w:t>
            </w:r>
          </w:p>
        </w:tc>
        <w:tc>
          <w:tcPr>
            <w:tcW w:w="1305" w:type="dxa"/>
            <w:noWrap/>
            <w:vAlign w:val="center"/>
            <w:hideMark/>
          </w:tcPr>
          <w:p w14:paraId="229F9436" w14:textId="77777777" w:rsidR="001E5A7C" w:rsidRPr="002C49F6" w:rsidRDefault="001E5A7C" w:rsidP="452BCD32">
            <w:pPr>
              <w:pStyle w:val="NoSpacing"/>
              <w:jc w:val="center"/>
              <w:rPr>
                <w:b/>
                <w:bCs/>
                <w:sz w:val="16"/>
                <w:szCs w:val="16"/>
              </w:rPr>
            </w:pPr>
            <w:r w:rsidRPr="452BCD32">
              <w:rPr>
                <w:b/>
                <w:bCs/>
                <w:sz w:val="16"/>
                <w:szCs w:val="16"/>
              </w:rPr>
              <w:t>4-Wk Model</w:t>
            </w:r>
          </w:p>
        </w:tc>
      </w:tr>
      <w:tr w:rsidR="001E5A7C" w:rsidRPr="002C49F6" w14:paraId="13A78D08" w14:textId="77777777" w:rsidTr="001E5A7C">
        <w:trPr>
          <w:trHeight w:val="309"/>
        </w:trPr>
        <w:tc>
          <w:tcPr>
            <w:tcW w:w="2615" w:type="dxa"/>
            <w:noWrap/>
            <w:vAlign w:val="center"/>
            <w:hideMark/>
          </w:tcPr>
          <w:p w14:paraId="1E3D4E94" w14:textId="77777777" w:rsidR="001E5A7C" w:rsidRPr="001E5A7C" w:rsidRDefault="001E5A7C" w:rsidP="452BCD32">
            <w:pPr>
              <w:pStyle w:val="NoSpacing"/>
              <w:rPr>
                <w:bCs/>
                <w:sz w:val="16"/>
                <w:szCs w:val="16"/>
              </w:rPr>
            </w:pPr>
            <w:r w:rsidRPr="001E5A7C">
              <w:rPr>
                <w:bCs/>
                <w:sz w:val="16"/>
                <w:szCs w:val="16"/>
              </w:rPr>
              <w:t>Housing</w:t>
            </w:r>
          </w:p>
        </w:tc>
        <w:tc>
          <w:tcPr>
            <w:tcW w:w="1379" w:type="dxa"/>
            <w:noWrap/>
            <w:vAlign w:val="center"/>
            <w:hideMark/>
          </w:tcPr>
          <w:p w14:paraId="30FC34C5" w14:textId="5761AD1B" w:rsidR="001E5A7C" w:rsidRPr="001E5A7C" w:rsidRDefault="001E5A7C" w:rsidP="452BCD32">
            <w:pPr>
              <w:pStyle w:val="NoSpacing"/>
              <w:jc w:val="center"/>
              <w:rPr>
                <w:sz w:val="16"/>
                <w:szCs w:val="16"/>
              </w:rPr>
            </w:pPr>
            <w:r w:rsidRPr="001E5A7C">
              <w:rPr>
                <w:sz w:val="16"/>
                <w:szCs w:val="16"/>
              </w:rPr>
              <w:t>$515.00</w:t>
            </w:r>
          </w:p>
        </w:tc>
        <w:tc>
          <w:tcPr>
            <w:tcW w:w="1380" w:type="dxa"/>
            <w:noWrap/>
            <w:vAlign w:val="center"/>
            <w:hideMark/>
          </w:tcPr>
          <w:p w14:paraId="56813B76" w14:textId="56BED34C" w:rsidR="001E5A7C" w:rsidRPr="001E5A7C" w:rsidRDefault="001E5A7C" w:rsidP="452BCD32">
            <w:pPr>
              <w:pStyle w:val="NoSpacing"/>
              <w:jc w:val="center"/>
              <w:rPr>
                <w:sz w:val="16"/>
                <w:szCs w:val="16"/>
              </w:rPr>
            </w:pPr>
            <w:r w:rsidRPr="001E5A7C">
              <w:rPr>
                <w:sz w:val="16"/>
                <w:szCs w:val="16"/>
              </w:rPr>
              <w:t>$1,030.00</w:t>
            </w:r>
          </w:p>
        </w:tc>
        <w:tc>
          <w:tcPr>
            <w:tcW w:w="1145" w:type="dxa"/>
            <w:noWrap/>
            <w:vAlign w:val="center"/>
            <w:hideMark/>
          </w:tcPr>
          <w:p w14:paraId="36D30C2A" w14:textId="7AD5E2CC" w:rsidR="001E5A7C" w:rsidRPr="001E5A7C" w:rsidRDefault="001E5A7C" w:rsidP="452BCD32">
            <w:pPr>
              <w:pStyle w:val="NoSpacing"/>
              <w:jc w:val="center"/>
              <w:rPr>
                <w:sz w:val="16"/>
                <w:szCs w:val="16"/>
              </w:rPr>
            </w:pPr>
            <w:r w:rsidRPr="001E5A7C">
              <w:rPr>
                <w:sz w:val="16"/>
                <w:szCs w:val="16"/>
              </w:rPr>
              <w:t>$515.00</w:t>
            </w:r>
          </w:p>
        </w:tc>
        <w:tc>
          <w:tcPr>
            <w:tcW w:w="1146" w:type="dxa"/>
            <w:noWrap/>
            <w:vAlign w:val="center"/>
            <w:hideMark/>
          </w:tcPr>
          <w:p w14:paraId="5986691E" w14:textId="77777777" w:rsidR="001E5A7C" w:rsidRPr="001E5A7C" w:rsidRDefault="001E5A7C" w:rsidP="452BCD32">
            <w:pPr>
              <w:pStyle w:val="NoSpacing"/>
              <w:jc w:val="center"/>
              <w:rPr>
                <w:sz w:val="16"/>
                <w:szCs w:val="16"/>
              </w:rPr>
            </w:pPr>
            <w:r w:rsidRPr="001E5A7C">
              <w:rPr>
                <w:sz w:val="16"/>
                <w:szCs w:val="16"/>
              </w:rPr>
              <w:t>$175.00</w:t>
            </w:r>
          </w:p>
        </w:tc>
        <w:tc>
          <w:tcPr>
            <w:tcW w:w="1305" w:type="dxa"/>
            <w:noWrap/>
            <w:vAlign w:val="center"/>
            <w:hideMark/>
          </w:tcPr>
          <w:p w14:paraId="147B9724" w14:textId="208DB094" w:rsidR="001E5A7C" w:rsidRPr="001E5A7C" w:rsidRDefault="001E5A7C" w:rsidP="452BCD32">
            <w:pPr>
              <w:pStyle w:val="NoSpacing"/>
              <w:jc w:val="center"/>
              <w:rPr>
                <w:sz w:val="16"/>
                <w:szCs w:val="16"/>
              </w:rPr>
            </w:pPr>
            <w:r w:rsidRPr="001E5A7C">
              <w:rPr>
                <w:sz w:val="16"/>
                <w:szCs w:val="16"/>
              </w:rPr>
              <w:t>---</w:t>
            </w:r>
          </w:p>
        </w:tc>
      </w:tr>
      <w:tr w:rsidR="001E5A7C" w:rsidRPr="002C49F6" w14:paraId="13D61D42" w14:textId="77777777" w:rsidTr="001E5A7C">
        <w:trPr>
          <w:trHeight w:val="309"/>
        </w:trPr>
        <w:tc>
          <w:tcPr>
            <w:tcW w:w="2615" w:type="dxa"/>
            <w:noWrap/>
            <w:vAlign w:val="center"/>
            <w:hideMark/>
          </w:tcPr>
          <w:p w14:paraId="1DDA3317" w14:textId="77777777" w:rsidR="001E5A7C" w:rsidRPr="001E5A7C" w:rsidRDefault="001E5A7C" w:rsidP="452BCD32">
            <w:pPr>
              <w:pStyle w:val="NoSpacing"/>
              <w:rPr>
                <w:bCs/>
                <w:sz w:val="16"/>
                <w:szCs w:val="16"/>
              </w:rPr>
            </w:pPr>
            <w:r w:rsidRPr="001E5A7C">
              <w:rPr>
                <w:bCs/>
                <w:sz w:val="16"/>
                <w:szCs w:val="16"/>
              </w:rPr>
              <w:t>Meals/Meal Plan</w:t>
            </w:r>
          </w:p>
        </w:tc>
        <w:tc>
          <w:tcPr>
            <w:tcW w:w="1379" w:type="dxa"/>
            <w:noWrap/>
            <w:vAlign w:val="center"/>
            <w:hideMark/>
          </w:tcPr>
          <w:p w14:paraId="56E6C242" w14:textId="77777777" w:rsidR="001E5A7C" w:rsidRPr="001E5A7C" w:rsidRDefault="001E5A7C" w:rsidP="452BCD32">
            <w:pPr>
              <w:pStyle w:val="NoSpacing"/>
              <w:jc w:val="center"/>
              <w:rPr>
                <w:sz w:val="16"/>
                <w:szCs w:val="16"/>
              </w:rPr>
            </w:pPr>
            <w:r w:rsidRPr="001E5A7C">
              <w:rPr>
                <w:sz w:val="16"/>
                <w:szCs w:val="16"/>
              </w:rPr>
              <w:t>$500.00</w:t>
            </w:r>
          </w:p>
        </w:tc>
        <w:tc>
          <w:tcPr>
            <w:tcW w:w="1380" w:type="dxa"/>
            <w:noWrap/>
            <w:vAlign w:val="center"/>
            <w:hideMark/>
          </w:tcPr>
          <w:p w14:paraId="6DB75410" w14:textId="77777777" w:rsidR="001E5A7C" w:rsidRPr="001E5A7C" w:rsidRDefault="001E5A7C" w:rsidP="452BCD32">
            <w:pPr>
              <w:pStyle w:val="NoSpacing"/>
              <w:jc w:val="center"/>
              <w:rPr>
                <w:sz w:val="16"/>
                <w:szCs w:val="16"/>
              </w:rPr>
            </w:pPr>
            <w:r w:rsidRPr="001E5A7C">
              <w:rPr>
                <w:sz w:val="16"/>
                <w:szCs w:val="16"/>
              </w:rPr>
              <w:t>$1,000.00</w:t>
            </w:r>
          </w:p>
        </w:tc>
        <w:tc>
          <w:tcPr>
            <w:tcW w:w="1145" w:type="dxa"/>
            <w:noWrap/>
            <w:vAlign w:val="center"/>
            <w:hideMark/>
          </w:tcPr>
          <w:p w14:paraId="2D20CDD8" w14:textId="77777777" w:rsidR="001E5A7C" w:rsidRPr="001E5A7C" w:rsidRDefault="001E5A7C" w:rsidP="452BCD32">
            <w:pPr>
              <w:pStyle w:val="NoSpacing"/>
              <w:jc w:val="center"/>
              <w:rPr>
                <w:sz w:val="16"/>
                <w:szCs w:val="16"/>
              </w:rPr>
            </w:pPr>
            <w:r w:rsidRPr="001E5A7C">
              <w:rPr>
                <w:sz w:val="16"/>
                <w:szCs w:val="16"/>
              </w:rPr>
              <w:t>$500.00</w:t>
            </w:r>
          </w:p>
        </w:tc>
        <w:tc>
          <w:tcPr>
            <w:tcW w:w="1146" w:type="dxa"/>
            <w:noWrap/>
            <w:vAlign w:val="center"/>
            <w:hideMark/>
          </w:tcPr>
          <w:p w14:paraId="5E859DD3" w14:textId="77777777" w:rsidR="001E5A7C" w:rsidRPr="001E5A7C" w:rsidRDefault="001E5A7C" w:rsidP="452BCD32">
            <w:pPr>
              <w:pStyle w:val="NoSpacing"/>
              <w:jc w:val="center"/>
              <w:rPr>
                <w:sz w:val="16"/>
                <w:szCs w:val="16"/>
              </w:rPr>
            </w:pPr>
            <w:r w:rsidRPr="001E5A7C">
              <w:rPr>
                <w:sz w:val="16"/>
                <w:szCs w:val="16"/>
              </w:rPr>
              <w:t>$120.00</w:t>
            </w:r>
          </w:p>
        </w:tc>
        <w:tc>
          <w:tcPr>
            <w:tcW w:w="1305" w:type="dxa"/>
            <w:noWrap/>
            <w:vAlign w:val="center"/>
            <w:hideMark/>
          </w:tcPr>
          <w:p w14:paraId="470496FF" w14:textId="2DDEB4F7" w:rsidR="001E5A7C" w:rsidRPr="001E5A7C" w:rsidRDefault="001E5A7C" w:rsidP="452BCD32">
            <w:pPr>
              <w:pStyle w:val="NoSpacing"/>
              <w:jc w:val="center"/>
              <w:rPr>
                <w:sz w:val="16"/>
                <w:szCs w:val="16"/>
              </w:rPr>
            </w:pPr>
            <w:r w:rsidRPr="001E5A7C">
              <w:rPr>
                <w:sz w:val="16"/>
                <w:szCs w:val="16"/>
              </w:rPr>
              <w:t>---</w:t>
            </w:r>
          </w:p>
        </w:tc>
      </w:tr>
      <w:tr w:rsidR="001E5A7C" w:rsidRPr="00807B3C" w14:paraId="4BF48622" w14:textId="77777777" w:rsidTr="001E5A7C">
        <w:trPr>
          <w:trHeight w:val="250"/>
        </w:trPr>
        <w:tc>
          <w:tcPr>
            <w:tcW w:w="2615" w:type="dxa"/>
            <w:noWrap/>
            <w:vAlign w:val="center"/>
            <w:hideMark/>
          </w:tcPr>
          <w:p w14:paraId="2BE3C468" w14:textId="696241BB" w:rsidR="001E5A7C" w:rsidRPr="001E5A7C" w:rsidRDefault="001E5A7C" w:rsidP="452BCD32">
            <w:pPr>
              <w:pStyle w:val="NoSpacing"/>
              <w:rPr>
                <w:iCs/>
                <w:sz w:val="16"/>
                <w:szCs w:val="16"/>
              </w:rPr>
            </w:pPr>
            <w:r w:rsidRPr="001E5A7C">
              <w:rPr>
                <w:iCs/>
                <w:sz w:val="16"/>
                <w:szCs w:val="16"/>
              </w:rPr>
              <w:t>Counselor Staff</w:t>
            </w:r>
          </w:p>
        </w:tc>
        <w:tc>
          <w:tcPr>
            <w:tcW w:w="1379" w:type="dxa"/>
            <w:noWrap/>
            <w:vAlign w:val="center"/>
            <w:hideMark/>
          </w:tcPr>
          <w:p w14:paraId="5BF29169" w14:textId="57DDCCF9" w:rsidR="001E5A7C" w:rsidRPr="001E5A7C" w:rsidRDefault="001E5A7C" w:rsidP="452BCD32">
            <w:pPr>
              <w:pStyle w:val="NoSpacing"/>
              <w:jc w:val="center"/>
              <w:rPr>
                <w:iCs/>
                <w:sz w:val="16"/>
                <w:szCs w:val="16"/>
              </w:rPr>
            </w:pPr>
            <w:r w:rsidRPr="001E5A7C">
              <w:rPr>
                <w:iCs/>
                <w:sz w:val="16"/>
                <w:szCs w:val="16"/>
              </w:rPr>
              <w:t>$75.00</w:t>
            </w:r>
          </w:p>
        </w:tc>
        <w:tc>
          <w:tcPr>
            <w:tcW w:w="1380" w:type="dxa"/>
            <w:noWrap/>
            <w:vAlign w:val="center"/>
            <w:hideMark/>
          </w:tcPr>
          <w:p w14:paraId="03C15BDD" w14:textId="42126C9C" w:rsidR="001E5A7C" w:rsidRPr="001E5A7C" w:rsidRDefault="001E5A7C" w:rsidP="452BCD32">
            <w:pPr>
              <w:pStyle w:val="NoSpacing"/>
              <w:jc w:val="center"/>
              <w:rPr>
                <w:iCs/>
                <w:sz w:val="16"/>
                <w:szCs w:val="16"/>
              </w:rPr>
            </w:pPr>
            <w:r w:rsidRPr="001E5A7C">
              <w:rPr>
                <w:iCs/>
                <w:sz w:val="16"/>
                <w:szCs w:val="16"/>
              </w:rPr>
              <w:t>$150.00</w:t>
            </w:r>
          </w:p>
        </w:tc>
        <w:tc>
          <w:tcPr>
            <w:tcW w:w="1145" w:type="dxa"/>
            <w:noWrap/>
            <w:vAlign w:val="center"/>
            <w:hideMark/>
          </w:tcPr>
          <w:p w14:paraId="2BEDE449" w14:textId="4420BD9D" w:rsidR="001E5A7C" w:rsidRPr="001E5A7C" w:rsidRDefault="001E5A7C" w:rsidP="452BCD32">
            <w:pPr>
              <w:pStyle w:val="NoSpacing"/>
              <w:jc w:val="center"/>
              <w:rPr>
                <w:iCs/>
                <w:sz w:val="16"/>
                <w:szCs w:val="16"/>
              </w:rPr>
            </w:pPr>
            <w:r w:rsidRPr="001E5A7C">
              <w:rPr>
                <w:iCs/>
                <w:sz w:val="16"/>
                <w:szCs w:val="16"/>
              </w:rPr>
              <w:t>$75.00</w:t>
            </w:r>
          </w:p>
        </w:tc>
        <w:tc>
          <w:tcPr>
            <w:tcW w:w="1146" w:type="dxa"/>
            <w:noWrap/>
            <w:vAlign w:val="center"/>
            <w:hideMark/>
          </w:tcPr>
          <w:p w14:paraId="605B846F" w14:textId="2E6F2B21" w:rsidR="001E5A7C" w:rsidRPr="001E5A7C" w:rsidRDefault="001E5A7C" w:rsidP="452BCD32">
            <w:pPr>
              <w:pStyle w:val="NoSpacing"/>
              <w:jc w:val="center"/>
              <w:rPr>
                <w:iCs/>
                <w:sz w:val="16"/>
                <w:szCs w:val="16"/>
              </w:rPr>
            </w:pPr>
            <w:r w:rsidRPr="001E5A7C">
              <w:rPr>
                <w:iCs/>
                <w:sz w:val="16"/>
                <w:szCs w:val="16"/>
              </w:rPr>
              <w:t>$20.00</w:t>
            </w:r>
          </w:p>
        </w:tc>
        <w:tc>
          <w:tcPr>
            <w:tcW w:w="1305" w:type="dxa"/>
            <w:noWrap/>
            <w:vAlign w:val="center"/>
            <w:hideMark/>
          </w:tcPr>
          <w:p w14:paraId="31F46DD7" w14:textId="423413A9" w:rsidR="001E5A7C" w:rsidRPr="001E5A7C" w:rsidRDefault="001E5A7C" w:rsidP="452BCD32">
            <w:pPr>
              <w:pStyle w:val="NoSpacing"/>
              <w:jc w:val="center"/>
              <w:rPr>
                <w:iCs/>
                <w:sz w:val="16"/>
                <w:szCs w:val="16"/>
              </w:rPr>
            </w:pPr>
            <w:r w:rsidRPr="001E5A7C">
              <w:rPr>
                <w:iCs/>
                <w:sz w:val="16"/>
                <w:szCs w:val="16"/>
              </w:rPr>
              <w:t>---</w:t>
            </w:r>
          </w:p>
        </w:tc>
      </w:tr>
      <w:tr w:rsidR="001E5A7C" w:rsidRPr="00807B3C" w14:paraId="1BEA369B" w14:textId="77777777" w:rsidTr="001E5A7C">
        <w:trPr>
          <w:trHeight w:val="250"/>
        </w:trPr>
        <w:tc>
          <w:tcPr>
            <w:tcW w:w="2615" w:type="dxa"/>
            <w:noWrap/>
            <w:vAlign w:val="center"/>
            <w:hideMark/>
          </w:tcPr>
          <w:p w14:paraId="7ECAB28B" w14:textId="3DB70605" w:rsidR="001E5A7C" w:rsidRPr="001E5A7C" w:rsidRDefault="001E5A7C" w:rsidP="452BCD32">
            <w:pPr>
              <w:pStyle w:val="NoSpacing"/>
              <w:rPr>
                <w:iCs/>
                <w:sz w:val="16"/>
                <w:szCs w:val="16"/>
              </w:rPr>
            </w:pPr>
            <w:r w:rsidRPr="001E5A7C">
              <w:rPr>
                <w:iCs/>
                <w:sz w:val="16"/>
                <w:szCs w:val="16"/>
              </w:rPr>
              <w:t>UM Admissions Application Fee</w:t>
            </w:r>
          </w:p>
        </w:tc>
        <w:tc>
          <w:tcPr>
            <w:tcW w:w="1379" w:type="dxa"/>
            <w:noWrap/>
            <w:vAlign w:val="center"/>
            <w:hideMark/>
          </w:tcPr>
          <w:p w14:paraId="413089CA" w14:textId="00E015DD" w:rsidR="001E5A7C" w:rsidRPr="001E5A7C" w:rsidRDefault="001E5A7C" w:rsidP="452BCD32">
            <w:pPr>
              <w:pStyle w:val="NoSpacing"/>
              <w:jc w:val="center"/>
              <w:rPr>
                <w:iCs/>
                <w:sz w:val="16"/>
                <w:szCs w:val="16"/>
              </w:rPr>
            </w:pPr>
            <w:r w:rsidRPr="001E5A7C">
              <w:rPr>
                <w:iCs/>
                <w:sz w:val="16"/>
                <w:szCs w:val="16"/>
              </w:rPr>
              <w:t>$50.00</w:t>
            </w:r>
          </w:p>
        </w:tc>
        <w:tc>
          <w:tcPr>
            <w:tcW w:w="1380" w:type="dxa"/>
            <w:noWrap/>
            <w:vAlign w:val="center"/>
            <w:hideMark/>
          </w:tcPr>
          <w:p w14:paraId="7E22D7A1" w14:textId="12C4EED3" w:rsidR="001E5A7C" w:rsidRPr="001E5A7C" w:rsidRDefault="001E5A7C" w:rsidP="452BCD32">
            <w:pPr>
              <w:pStyle w:val="NoSpacing"/>
              <w:jc w:val="center"/>
              <w:rPr>
                <w:iCs/>
                <w:sz w:val="16"/>
                <w:szCs w:val="16"/>
              </w:rPr>
            </w:pPr>
            <w:r w:rsidRPr="001E5A7C">
              <w:rPr>
                <w:iCs/>
                <w:sz w:val="16"/>
                <w:szCs w:val="16"/>
              </w:rPr>
              <w:t>$50.00</w:t>
            </w:r>
          </w:p>
        </w:tc>
        <w:tc>
          <w:tcPr>
            <w:tcW w:w="1145" w:type="dxa"/>
            <w:noWrap/>
            <w:vAlign w:val="center"/>
            <w:hideMark/>
          </w:tcPr>
          <w:p w14:paraId="19B7461C" w14:textId="2BB40E95" w:rsidR="001E5A7C" w:rsidRPr="001E5A7C" w:rsidRDefault="001E5A7C" w:rsidP="452BCD32">
            <w:pPr>
              <w:pStyle w:val="NoSpacing"/>
              <w:jc w:val="center"/>
              <w:rPr>
                <w:iCs/>
                <w:sz w:val="16"/>
                <w:szCs w:val="16"/>
              </w:rPr>
            </w:pPr>
            <w:r w:rsidRPr="001E5A7C">
              <w:rPr>
                <w:iCs/>
                <w:sz w:val="16"/>
                <w:szCs w:val="16"/>
              </w:rPr>
              <w:t>---</w:t>
            </w:r>
          </w:p>
        </w:tc>
        <w:tc>
          <w:tcPr>
            <w:tcW w:w="1146" w:type="dxa"/>
            <w:noWrap/>
            <w:vAlign w:val="center"/>
            <w:hideMark/>
          </w:tcPr>
          <w:p w14:paraId="27095526" w14:textId="2E6058D5" w:rsidR="001E5A7C" w:rsidRPr="001E5A7C" w:rsidRDefault="001E5A7C" w:rsidP="452BCD32">
            <w:pPr>
              <w:pStyle w:val="NoSpacing"/>
              <w:jc w:val="center"/>
              <w:rPr>
                <w:iCs/>
                <w:sz w:val="16"/>
                <w:szCs w:val="16"/>
              </w:rPr>
            </w:pPr>
            <w:r w:rsidRPr="001E5A7C">
              <w:rPr>
                <w:iCs/>
                <w:sz w:val="16"/>
                <w:szCs w:val="16"/>
              </w:rPr>
              <w:t>---</w:t>
            </w:r>
          </w:p>
        </w:tc>
        <w:tc>
          <w:tcPr>
            <w:tcW w:w="1305" w:type="dxa"/>
            <w:noWrap/>
            <w:vAlign w:val="center"/>
            <w:hideMark/>
          </w:tcPr>
          <w:p w14:paraId="2C145664" w14:textId="47B8D02D" w:rsidR="001E5A7C" w:rsidRPr="001E5A7C" w:rsidRDefault="001E5A7C" w:rsidP="452BCD32">
            <w:pPr>
              <w:pStyle w:val="NoSpacing"/>
              <w:jc w:val="center"/>
              <w:rPr>
                <w:iCs/>
                <w:sz w:val="16"/>
                <w:szCs w:val="16"/>
              </w:rPr>
            </w:pPr>
            <w:r w:rsidRPr="001E5A7C">
              <w:rPr>
                <w:iCs/>
                <w:sz w:val="16"/>
                <w:szCs w:val="16"/>
              </w:rPr>
              <w:t>$50.00</w:t>
            </w:r>
          </w:p>
        </w:tc>
      </w:tr>
      <w:tr w:rsidR="001E5A7C" w:rsidRPr="00807B3C" w14:paraId="20453F08" w14:textId="77777777" w:rsidTr="001E5A7C">
        <w:trPr>
          <w:trHeight w:val="250"/>
        </w:trPr>
        <w:tc>
          <w:tcPr>
            <w:tcW w:w="2615" w:type="dxa"/>
            <w:noWrap/>
            <w:vAlign w:val="center"/>
            <w:hideMark/>
          </w:tcPr>
          <w:p w14:paraId="033D87D1" w14:textId="776BCF7D" w:rsidR="001E5A7C" w:rsidRPr="001E5A7C" w:rsidRDefault="001E5A7C" w:rsidP="452BCD32">
            <w:pPr>
              <w:pStyle w:val="NoSpacing"/>
              <w:rPr>
                <w:iCs/>
                <w:sz w:val="16"/>
                <w:szCs w:val="16"/>
              </w:rPr>
            </w:pPr>
            <w:r w:rsidRPr="001E5A7C">
              <w:rPr>
                <w:iCs/>
                <w:sz w:val="16"/>
                <w:szCs w:val="16"/>
              </w:rPr>
              <w:t>PCP Uniform Packs w/ T-shirt, wrist band, and required items (fixed cost)</w:t>
            </w:r>
          </w:p>
        </w:tc>
        <w:tc>
          <w:tcPr>
            <w:tcW w:w="1379" w:type="dxa"/>
            <w:noWrap/>
            <w:vAlign w:val="center"/>
            <w:hideMark/>
          </w:tcPr>
          <w:p w14:paraId="6A90168B" w14:textId="76E3FEEA" w:rsidR="001E5A7C" w:rsidRPr="001E5A7C" w:rsidRDefault="001E5A7C" w:rsidP="452BCD32">
            <w:pPr>
              <w:pStyle w:val="NoSpacing"/>
              <w:jc w:val="center"/>
              <w:rPr>
                <w:iCs/>
                <w:sz w:val="16"/>
                <w:szCs w:val="16"/>
              </w:rPr>
            </w:pPr>
            <w:r w:rsidRPr="001E5A7C">
              <w:rPr>
                <w:iCs/>
                <w:sz w:val="16"/>
                <w:szCs w:val="16"/>
              </w:rPr>
              <w:t>$20.00</w:t>
            </w:r>
          </w:p>
        </w:tc>
        <w:tc>
          <w:tcPr>
            <w:tcW w:w="1380" w:type="dxa"/>
            <w:noWrap/>
            <w:vAlign w:val="center"/>
            <w:hideMark/>
          </w:tcPr>
          <w:p w14:paraId="34BDC67D" w14:textId="486C08E3" w:rsidR="001E5A7C" w:rsidRPr="001E5A7C" w:rsidRDefault="001E5A7C" w:rsidP="452BCD32">
            <w:pPr>
              <w:pStyle w:val="NoSpacing"/>
              <w:jc w:val="center"/>
              <w:rPr>
                <w:iCs/>
                <w:sz w:val="16"/>
                <w:szCs w:val="16"/>
              </w:rPr>
            </w:pPr>
            <w:r w:rsidRPr="001E5A7C">
              <w:rPr>
                <w:iCs/>
                <w:sz w:val="16"/>
                <w:szCs w:val="16"/>
              </w:rPr>
              <w:t>$20.00</w:t>
            </w:r>
          </w:p>
        </w:tc>
        <w:tc>
          <w:tcPr>
            <w:tcW w:w="1145" w:type="dxa"/>
            <w:noWrap/>
            <w:vAlign w:val="center"/>
            <w:hideMark/>
          </w:tcPr>
          <w:p w14:paraId="6F747AC8" w14:textId="09097647" w:rsidR="001E5A7C" w:rsidRPr="001E5A7C" w:rsidRDefault="001E5A7C" w:rsidP="452BCD32">
            <w:pPr>
              <w:pStyle w:val="NoSpacing"/>
              <w:jc w:val="center"/>
              <w:rPr>
                <w:iCs/>
                <w:sz w:val="16"/>
                <w:szCs w:val="16"/>
              </w:rPr>
            </w:pPr>
            <w:r w:rsidRPr="001E5A7C">
              <w:rPr>
                <w:iCs/>
                <w:sz w:val="16"/>
                <w:szCs w:val="16"/>
              </w:rPr>
              <w:t>$20.00</w:t>
            </w:r>
          </w:p>
        </w:tc>
        <w:tc>
          <w:tcPr>
            <w:tcW w:w="1146" w:type="dxa"/>
            <w:noWrap/>
            <w:vAlign w:val="center"/>
            <w:hideMark/>
          </w:tcPr>
          <w:p w14:paraId="62972E89" w14:textId="05CE4359" w:rsidR="001E5A7C" w:rsidRPr="001E5A7C" w:rsidRDefault="001E5A7C" w:rsidP="452BCD32">
            <w:pPr>
              <w:pStyle w:val="NoSpacing"/>
              <w:jc w:val="center"/>
              <w:rPr>
                <w:iCs/>
                <w:sz w:val="16"/>
                <w:szCs w:val="16"/>
              </w:rPr>
            </w:pPr>
            <w:r w:rsidRPr="001E5A7C">
              <w:rPr>
                <w:iCs/>
                <w:sz w:val="16"/>
                <w:szCs w:val="16"/>
              </w:rPr>
              <w:t>$20.00</w:t>
            </w:r>
          </w:p>
        </w:tc>
        <w:tc>
          <w:tcPr>
            <w:tcW w:w="1305" w:type="dxa"/>
            <w:noWrap/>
            <w:vAlign w:val="center"/>
            <w:hideMark/>
          </w:tcPr>
          <w:p w14:paraId="5CE11C8D" w14:textId="25DC25CD" w:rsidR="001E5A7C" w:rsidRPr="001E5A7C" w:rsidRDefault="001E5A7C" w:rsidP="452BCD32">
            <w:pPr>
              <w:pStyle w:val="NoSpacing"/>
              <w:jc w:val="center"/>
              <w:rPr>
                <w:iCs/>
                <w:sz w:val="16"/>
                <w:szCs w:val="16"/>
              </w:rPr>
            </w:pPr>
            <w:r w:rsidRPr="001E5A7C">
              <w:rPr>
                <w:iCs/>
                <w:sz w:val="16"/>
                <w:szCs w:val="16"/>
              </w:rPr>
              <w:t>---</w:t>
            </w:r>
          </w:p>
        </w:tc>
      </w:tr>
      <w:tr w:rsidR="001E5A7C" w:rsidRPr="00807B3C" w14:paraId="402C1DE5" w14:textId="77777777" w:rsidTr="001E5A7C">
        <w:trPr>
          <w:trHeight w:val="250"/>
        </w:trPr>
        <w:tc>
          <w:tcPr>
            <w:tcW w:w="2615" w:type="dxa"/>
            <w:noWrap/>
            <w:vAlign w:val="center"/>
            <w:hideMark/>
          </w:tcPr>
          <w:p w14:paraId="1B8FDF6A" w14:textId="7729429D" w:rsidR="001E5A7C" w:rsidRPr="001E5A7C" w:rsidRDefault="001E5A7C" w:rsidP="452BCD32">
            <w:pPr>
              <w:pStyle w:val="NoSpacing"/>
              <w:rPr>
                <w:iCs/>
                <w:sz w:val="16"/>
                <w:szCs w:val="16"/>
              </w:rPr>
            </w:pPr>
            <w:r w:rsidRPr="001E5A7C">
              <w:rPr>
                <w:iCs/>
                <w:sz w:val="16"/>
                <w:szCs w:val="16"/>
              </w:rPr>
              <w:t>Supplies for evening educational programs</w:t>
            </w:r>
          </w:p>
        </w:tc>
        <w:tc>
          <w:tcPr>
            <w:tcW w:w="1379" w:type="dxa"/>
            <w:noWrap/>
            <w:vAlign w:val="center"/>
            <w:hideMark/>
          </w:tcPr>
          <w:p w14:paraId="797AA040" w14:textId="18AC184B" w:rsidR="001E5A7C" w:rsidRPr="001E5A7C" w:rsidRDefault="001E5A7C" w:rsidP="452BCD32">
            <w:pPr>
              <w:pStyle w:val="NoSpacing"/>
              <w:jc w:val="center"/>
              <w:rPr>
                <w:iCs/>
                <w:sz w:val="16"/>
                <w:szCs w:val="16"/>
              </w:rPr>
            </w:pPr>
            <w:r w:rsidRPr="001E5A7C">
              <w:rPr>
                <w:iCs/>
                <w:sz w:val="16"/>
                <w:szCs w:val="16"/>
              </w:rPr>
              <w:t>$40.00</w:t>
            </w:r>
          </w:p>
        </w:tc>
        <w:tc>
          <w:tcPr>
            <w:tcW w:w="1380" w:type="dxa"/>
            <w:noWrap/>
            <w:vAlign w:val="center"/>
            <w:hideMark/>
          </w:tcPr>
          <w:p w14:paraId="7062A0AC" w14:textId="58EF293C" w:rsidR="001E5A7C" w:rsidRPr="001E5A7C" w:rsidRDefault="001E5A7C" w:rsidP="452BCD32">
            <w:pPr>
              <w:pStyle w:val="NoSpacing"/>
              <w:jc w:val="center"/>
              <w:rPr>
                <w:iCs/>
                <w:sz w:val="16"/>
                <w:szCs w:val="16"/>
              </w:rPr>
            </w:pPr>
            <w:r w:rsidRPr="001E5A7C">
              <w:rPr>
                <w:iCs/>
                <w:sz w:val="16"/>
                <w:szCs w:val="16"/>
              </w:rPr>
              <w:t>$80.00</w:t>
            </w:r>
          </w:p>
        </w:tc>
        <w:tc>
          <w:tcPr>
            <w:tcW w:w="1145" w:type="dxa"/>
            <w:noWrap/>
            <w:vAlign w:val="center"/>
            <w:hideMark/>
          </w:tcPr>
          <w:p w14:paraId="12BAD635" w14:textId="2E54F081" w:rsidR="001E5A7C" w:rsidRPr="001E5A7C" w:rsidRDefault="001E5A7C" w:rsidP="452BCD32">
            <w:pPr>
              <w:pStyle w:val="NoSpacing"/>
              <w:jc w:val="center"/>
              <w:rPr>
                <w:iCs/>
                <w:sz w:val="16"/>
                <w:szCs w:val="16"/>
              </w:rPr>
            </w:pPr>
            <w:r w:rsidRPr="001E5A7C">
              <w:rPr>
                <w:iCs/>
                <w:sz w:val="16"/>
                <w:szCs w:val="16"/>
              </w:rPr>
              <w:t>$40.00</w:t>
            </w:r>
          </w:p>
        </w:tc>
        <w:tc>
          <w:tcPr>
            <w:tcW w:w="1146" w:type="dxa"/>
            <w:noWrap/>
            <w:vAlign w:val="center"/>
            <w:hideMark/>
          </w:tcPr>
          <w:p w14:paraId="24B85C23" w14:textId="62FA2C25" w:rsidR="001E5A7C" w:rsidRPr="001E5A7C" w:rsidRDefault="001E5A7C" w:rsidP="452BCD32">
            <w:pPr>
              <w:pStyle w:val="NoSpacing"/>
              <w:jc w:val="center"/>
              <w:rPr>
                <w:iCs/>
                <w:sz w:val="16"/>
                <w:szCs w:val="16"/>
              </w:rPr>
            </w:pPr>
            <w:r w:rsidRPr="001E5A7C">
              <w:rPr>
                <w:iCs/>
                <w:sz w:val="16"/>
                <w:szCs w:val="16"/>
              </w:rPr>
              <w:t>$10.00</w:t>
            </w:r>
          </w:p>
        </w:tc>
        <w:tc>
          <w:tcPr>
            <w:tcW w:w="1305" w:type="dxa"/>
            <w:noWrap/>
            <w:vAlign w:val="center"/>
            <w:hideMark/>
          </w:tcPr>
          <w:p w14:paraId="4FB37CFC" w14:textId="6DE29CD2" w:rsidR="001E5A7C" w:rsidRPr="001E5A7C" w:rsidRDefault="001E5A7C" w:rsidP="452BCD32">
            <w:pPr>
              <w:pStyle w:val="NoSpacing"/>
              <w:jc w:val="center"/>
              <w:rPr>
                <w:iCs/>
                <w:sz w:val="16"/>
                <w:szCs w:val="16"/>
              </w:rPr>
            </w:pPr>
            <w:r w:rsidRPr="001E5A7C">
              <w:rPr>
                <w:sz w:val="16"/>
                <w:szCs w:val="16"/>
              </w:rPr>
              <w:t>----</w:t>
            </w:r>
          </w:p>
        </w:tc>
      </w:tr>
      <w:tr w:rsidR="001E5A7C" w:rsidRPr="00807B3C" w14:paraId="17DA8185" w14:textId="77777777" w:rsidTr="001E5A7C">
        <w:trPr>
          <w:trHeight w:val="250"/>
        </w:trPr>
        <w:tc>
          <w:tcPr>
            <w:tcW w:w="2615" w:type="dxa"/>
            <w:noWrap/>
            <w:vAlign w:val="center"/>
            <w:hideMark/>
          </w:tcPr>
          <w:p w14:paraId="7783B05B" w14:textId="0744C02B" w:rsidR="001E5A7C" w:rsidRPr="001E5A7C" w:rsidRDefault="001E5A7C" w:rsidP="452BCD32">
            <w:pPr>
              <w:pStyle w:val="NoSpacing"/>
              <w:rPr>
                <w:i/>
                <w:iCs/>
                <w:sz w:val="16"/>
                <w:szCs w:val="16"/>
              </w:rPr>
            </w:pPr>
            <w:r w:rsidRPr="001E5A7C">
              <w:rPr>
                <w:bCs/>
                <w:sz w:val="16"/>
                <w:szCs w:val="16"/>
              </w:rPr>
              <w:t>Weekend Entertainment and Travel</w:t>
            </w:r>
            <w:r w:rsidRPr="001E5A7C">
              <w:rPr>
                <w:bCs/>
                <w:sz w:val="16"/>
                <w:szCs w:val="16"/>
                <w:vertAlign w:val="superscript"/>
              </w:rPr>
              <w:t>5</w:t>
            </w:r>
          </w:p>
        </w:tc>
        <w:tc>
          <w:tcPr>
            <w:tcW w:w="1379" w:type="dxa"/>
            <w:noWrap/>
            <w:vAlign w:val="center"/>
            <w:hideMark/>
          </w:tcPr>
          <w:p w14:paraId="12118EEB" w14:textId="00829325" w:rsidR="001E5A7C" w:rsidRPr="001E5A7C" w:rsidRDefault="001E5A7C" w:rsidP="452BCD32">
            <w:pPr>
              <w:pStyle w:val="NoSpacing"/>
              <w:jc w:val="center"/>
              <w:rPr>
                <w:i/>
                <w:iCs/>
                <w:sz w:val="16"/>
                <w:szCs w:val="16"/>
              </w:rPr>
            </w:pPr>
            <w:r w:rsidRPr="001E5A7C">
              <w:rPr>
                <w:sz w:val="16"/>
                <w:szCs w:val="16"/>
              </w:rPr>
              <w:t>$140.00</w:t>
            </w:r>
          </w:p>
        </w:tc>
        <w:tc>
          <w:tcPr>
            <w:tcW w:w="1380" w:type="dxa"/>
            <w:noWrap/>
            <w:vAlign w:val="center"/>
            <w:hideMark/>
          </w:tcPr>
          <w:p w14:paraId="46A48A96" w14:textId="1F3683E0" w:rsidR="001E5A7C" w:rsidRPr="001E5A7C" w:rsidRDefault="001E5A7C" w:rsidP="452BCD32">
            <w:pPr>
              <w:pStyle w:val="NoSpacing"/>
              <w:jc w:val="center"/>
              <w:rPr>
                <w:i/>
                <w:iCs/>
                <w:sz w:val="16"/>
                <w:szCs w:val="16"/>
              </w:rPr>
            </w:pPr>
            <w:r w:rsidRPr="001E5A7C">
              <w:rPr>
                <w:sz w:val="16"/>
                <w:szCs w:val="16"/>
              </w:rPr>
              <w:t>$280.00</w:t>
            </w:r>
          </w:p>
        </w:tc>
        <w:tc>
          <w:tcPr>
            <w:tcW w:w="1145" w:type="dxa"/>
            <w:noWrap/>
            <w:vAlign w:val="center"/>
            <w:hideMark/>
          </w:tcPr>
          <w:p w14:paraId="316585B1" w14:textId="59317DED" w:rsidR="001E5A7C" w:rsidRPr="001E5A7C" w:rsidRDefault="001E5A7C" w:rsidP="452BCD32">
            <w:pPr>
              <w:pStyle w:val="NoSpacing"/>
              <w:jc w:val="center"/>
              <w:rPr>
                <w:i/>
                <w:iCs/>
                <w:sz w:val="16"/>
                <w:szCs w:val="16"/>
              </w:rPr>
            </w:pPr>
            <w:r w:rsidRPr="001E5A7C">
              <w:rPr>
                <w:sz w:val="16"/>
                <w:szCs w:val="16"/>
              </w:rPr>
              <w:t>$140.00</w:t>
            </w:r>
          </w:p>
        </w:tc>
        <w:tc>
          <w:tcPr>
            <w:tcW w:w="1146" w:type="dxa"/>
            <w:noWrap/>
            <w:vAlign w:val="center"/>
            <w:hideMark/>
          </w:tcPr>
          <w:p w14:paraId="1EC6B20B" w14:textId="01455DD7" w:rsidR="001E5A7C" w:rsidRPr="001E5A7C" w:rsidRDefault="001E5A7C" w:rsidP="452BCD32">
            <w:pPr>
              <w:pStyle w:val="NoSpacing"/>
              <w:jc w:val="center"/>
              <w:rPr>
                <w:i/>
                <w:iCs/>
                <w:sz w:val="16"/>
                <w:szCs w:val="16"/>
              </w:rPr>
            </w:pPr>
            <w:r w:rsidRPr="001E5A7C">
              <w:rPr>
                <w:sz w:val="16"/>
                <w:szCs w:val="16"/>
              </w:rPr>
              <w:t>$0.00</w:t>
            </w:r>
          </w:p>
        </w:tc>
        <w:tc>
          <w:tcPr>
            <w:tcW w:w="1305" w:type="dxa"/>
            <w:noWrap/>
            <w:vAlign w:val="center"/>
            <w:hideMark/>
          </w:tcPr>
          <w:p w14:paraId="47A90233" w14:textId="3D4D4B9D" w:rsidR="001E5A7C" w:rsidRPr="001E5A7C" w:rsidRDefault="001E5A7C" w:rsidP="452BCD32">
            <w:pPr>
              <w:pStyle w:val="NoSpacing"/>
              <w:jc w:val="center"/>
              <w:rPr>
                <w:i/>
                <w:iCs/>
                <w:sz w:val="16"/>
                <w:szCs w:val="16"/>
              </w:rPr>
            </w:pPr>
            <w:r w:rsidRPr="001E5A7C">
              <w:rPr>
                <w:sz w:val="16"/>
                <w:szCs w:val="16"/>
              </w:rPr>
              <w:t>$140.00</w:t>
            </w:r>
          </w:p>
        </w:tc>
      </w:tr>
      <w:tr w:rsidR="001E5A7C" w:rsidRPr="00807B3C" w14:paraId="77A9079E" w14:textId="77777777" w:rsidTr="001E5A7C">
        <w:trPr>
          <w:trHeight w:val="250"/>
        </w:trPr>
        <w:tc>
          <w:tcPr>
            <w:tcW w:w="2615" w:type="dxa"/>
            <w:noWrap/>
            <w:vAlign w:val="center"/>
            <w:hideMark/>
          </w:tcPr>
          <w:p w14:paraId="34A78637" w14:textId="44D781A7" w:rsidR="001E5A7C" w:rsidRPr="001E5A7C" w:rsidRDefault="001E5A7C" w:rsidP="452BCD32">
            <w:pPr>
              <w:pStyle w:val="NoSpacing"/>
              <w:rPr>
                <w:i/>
                <w:iCs/>
                <w:sz w:val="16"/>
                <w:szCs w:val="16"/>
              </w:rPr>
            </w:pPr>
            <w:r w:rsidRPr="001E5A7C">
              <w:rPr>
                <w:bCs/>
                <w:sz w:val="16"/>
                <w:szCs w:val="16"/>
              </w:rPr>
              <w:t>Turner Center Fee per scholar</w:t>
            </w:r>
            <w:r w:rsidR="004F06D8" w:rsidRPr="004F06D8">
              <w:rPr>
                <w:bCs/>
                <w:sz w:val="16"/>
                <w:szCs w:val="16"/>
                <w:vertAlign w:val="superscript"/>
              </w:rPr>
              <w:t>5</w:t>
            </w:r>
          </w:p>
        </w:tc>
        <w:tc>
          <w:tcPr>
            <w:tcW w:w="1379" w:type="dxa"/>
            <w:noWrap/>
            <w:vAlign w:val="center"/>
            <w:hideMark/>
          </w:tcPr>
          <w:p w14:paraId="19D4AD9F" w14:textId="2B636B27" w:rsidR="001E5A7C" w:rsidRPr="001E5A7C" w:rsidRDefault="001E5A7C" w:rsidP="452BCD32">
            <w:pPr>
              <w:pStyle w:val="NoSpacing"/>
              <w:jc w:val="center"/>
              <w:rPr>
                <w:i/>
                <w:iCs/>
                <w:sz w:val="16"/>
                <w:szCs w:val="16"/>
              </w:rPr>
            </w:pPr>
            <w:r w:rsidRPr="001E5A7C">
              <w:rPr>
                <w:sz w:val="16"/>
                <w:szCs w:val="16"/>
              </w:rPr>
              <w:t>---</w:t>
            </w:r>
          </w:p>
        </w:tc>
        <w:tc>
          <w:tcPr>
            <w:tcW w:w="1380" w:type="dxa"/>
            <w:noWrap/>
            <w:vAlign w:val="center"/>
            <w:hideMark/>
          </w:tcPr>
          <w:p w14:paraId="0F1564BD" w14:textId="59AF6C27" w:rsidR="001E5A7C" w:rsidRPr="001E5A7C" w:rsidRDefault="001E5A7C" w:rsidP="452BCD32">
            <w:pPr>
              <w:pStyle w:val="NoSpacing"/>
              <w:jc w:val="center"/>
              <w:rPr>
                <w:i/>
                <w:iCs/>
                <w:sz w:val="16"/>
                <w:szCs w:val="16"/>
              </w:rPr>
            </w:pPr>
            <w:r w:rsidRPr="001E5A7C">
              <w:rPr>
                <w:sz w:val="16"/>
                <w:szCs w:val="16"/>
              </w:rPr>
              <w:t>---</w:t>
            </w:r>
          </w:p>
        </w:tc>
        <w:tc>
          <w:tcPr>
            <w:tcW w:w="1145" w:type="dxa"/>
            <w:noWrap/>
            <w:vAlign w:val="center"/>
            <w:hideMark/>
          </w:tcPr>
          <w:p w14:paraId="42C64E13" w14:textId="1BEBEC5E" w:rsidR="001E5A7C" w:rsidRPr="001E5A7C" w:rsidRDefault="004F06D8" w:rsidP="452BCD32">
            <w:pPr>
              <w:pStyle w:val="NoSpacing"/>
              <w:jc w:val="center"/>
              <w:rPr>
                <w:i/>
                <w:iCs/>
                <w:sz w:val="16"/>
                <w:szCs w:val="16"/>
              </w:rPr>
            </w:pPr>
            <w:r>
              <w:rPr>
                <w:sz w:val="16"/>
                <w:szCs w:val="16"/>
              </w:rPr>
              <w:t>$20</w:t>
            </w:r>
            <w:r w:rsidR="001E5A7C" w:rsidRPr="001E5A7C">
              <w:rPr>
                <w:sz w:val="16"/>
                <w:szCs w:val="16"/>
              </w:rPr>
              <w:t>.00</w:t>
            </w:r>
          </w:p>
        </w:tc>
        <w:tc>
          <w:tcPr>
            <w:tcW w:w="1146" w:type="dxa"/>
            <w:noWrap/>
            <w:vAlign w:val="center"/>
            <w:hideMark/>
          </w:tcPr>
          <w:p w14:paraId="4CADF735" w14:textId="7C773829" w:rsidR="001E5A7C" w:rsidRPr="001E5A7C" w:rsidRDefault="001E5A7C" w:rsidP="452BCD32">
            <w:pPr>
              <w:pStyle w:val="NoSpacing"/>
              <w:jc w:val="center"/>
              <w:rPr>
                <w:i/>
                <w:iCs/>
                <w:sz w:val="16"/>
                <w:szCs w:val="16"/>
              </w:rPr>
            </w:pPr>
            <w:r w:rsidRPr="001E5A7C">
              <w:rPr>
                <w:sz w:val="16"/>
                <w:szCs w:val="16"/>
              </w:rPr>
              <w:t>$5.00</w:t>
            </w:r>
          </w:p>
        </w:tc>
        <w:tc>
          <w:tcPr>
            <w:tcW w:w="1305" w:type="dxa"/>
            <w:noWrap/>
            <w:vAlign w:val="center"/>
            <w:hideMark/>
          </w:tcPr>
          <w:p w14:paraId="48F190F5" w14:textId="2B915FD4" w:rsidR="001E5A7C" w:rsidRPr="001E5A7C" w:rsidRDefault="001E5A7C" w:rsidP="452BCD32">
            <w:pPr>
              <w:pStyle w:val="NoSpacing"/>
              <w:jc w:val="center"/>
              <w:rPr>
                <w:i/>
                <w:iCs/>
                <w:sz w:val="16"/>
                <w:szCs w:val="16"/>
              </w:rPr>
            </w:pPr>
            <w:r w:rsidRPr="001E5A7C">
              <w:rPr>
                <w:sz w:val="16"/>
                <w:szCs w:val="16"/>
              </w:rPr>
              <w:t>---</w:t>
            </w:r>
          </w:p>
        </w:tc>
      </w:tr>
      <w:tr w:rsidR="001E5A7C" w:rsidRPr="002C49F6" w14:paraId="0F3C5DD3" w14:textId="77777777" w:rsidTr="001E5A7C">
        <w:trPr>
          <w:trHeight w:val="309"/>
        </w:trPr>
        <w:tc>
          <w:tcPr>
            <w:tcW w:w="2615" w:type="dxa"/>
            <w:noWrap/>
            <w:vAlign w:val="center"/>
            <w:hideMark/>
          </w:tcPr>
          <w:p w14:paraId="2A962C8A" w14:textId="461AC7E8" w:rsidR="001E5A7C" w:rsidRPr="001E5A7C" w:rsidRDefault="001E5A7C" w:rsidP="452BCD32">
            <w:pPr>
              <w:pStyle w:val="NoSpacing"/>
              <w:rPr>
                <w:b/>
                <w:bCs/>
                <w:sz w:val="16"/>
                <w:szCs w:val="16"/>
              </w:rPr>
            </w:pPr>
          </w:p>
        </w:tc>
        <w:tc>
          <w:tcPr>
            <w:tcW w:w="1379" w:type="dxa"/>
            <w:noWrap/>
            <w:vAlign w:val="center"/>
            <w:hideMark/>
          </w:tcPr>
          <w:p w14:paraId="5E377296" w14:textId="0C73E12E" w:rsidR="001E5A7C" w:rsidRPr="001E5A7C" w:rsidRDefault="001E5A7C" w:rsidP="452BCD32">
            <w:pPr>
              <w:pStyle w:val="NoSpacing"/>
              <w:jc w:val="center"/>
              <w:rPr>
                <w:sz w:val="16"/>
                <w:szCs w:val="16"/>
              </w:rPr>
            </w:pPr>
          </w:p>
        </w:tc>
        <w:tc>
          <w:tcPr>
            <w:tcW w:w="1380" w:type="dxa"/>
            <w:noWrap/>
            <w:vAlign w:val="center"/>
            <w:hideMark/>
          </w:tcPr>
          <w:p w14:paraId="1033D723" w14:textId="549269A4" w:rsidR="001E5A7C" w:rsidRPr="001E5A7C" w:rsidRDefault="001E5A7C" w:rsidP="452BCD32">
            <w:pPr>
              <w:pStyle w:val="NoSpacing"/>
              <w:jc w:val="center"/>
              <w:rPr>
                <w:sz w:val="16"/>
                <w:szCs w:val="16"/>
              </w:rPr>
            </w:pPr>
          </w:p>
        </w:tc>
        <w:tc>
          <w:tcPr>
            <w:tcW w:w="1145" w:type="dxa"/>
            <w:noWrap/>
            <w:vAlign w:val="center"/>
            <w:hideMark/>
          </w:tcPr>
          <w:p w14:paraId="2FD109BF" w14:textId="0FEBA0CE" w:rsidR="001E5A7C" w:rsidRPr="001E5A7C" w:rsidRDefault="001E5A7C" w:rsidP="452BCD32">
            <w:pPr>
              <w:pStyle w:val="NoSpacing"/>
              <w:jc w:val="center"/>
              <w:rPr>
                <w:sz w:val="16"/>
                <w:szCs w:val="16"/>
              </w:rPr>
            </w:pPr>
          </w:p>
        </w:tc>
        <w:tc>
          <w:tcPr>
            <w:tcW w:w="1146" w:type="dxa"/>
            <w:noWrap/>
            <w:vAlign w:val="center"/>
            <w:hideMark/>
          </w:tcPr>
          <w:p w14:paraId="016FA86D" w14:textId="5D84CBB6" w:rsidR="001E5A7C" w:rsidRPr="001E5A7C" w:rsidRDefault="001E5A7C" w:rsidP="452BCD32">
            <w:pPr>
              <w:pStyle w:val="NoSpacing"/>
              <w:jc w:val="center"/>
              <w:rPr>
                <w:sz w:val="16"/>
                <w:szCs w:val="16"/>
              </w:rPr>
            </w:pPr>
          </w:p>
        </w:tc>
        <w:tc>
          <w:tcPr>
            <w:tcW w:w="1305" w:type="dxa"/>
            <w:noWrap/>
            <w:vAlign w:val="center"/>
            <w:hideMark/>
          </w:tcPr>
          <w:p w14:paraId="339D0E61" w14:textId="4A87ECE4" w:rsidR="001E5A7C" w:rsidRPr="001E5A7C" w:rsidRDefault="001E5A7C" w:rsidP="452BCD32">
            <w:pPr>
              <w:pStyle w:val="NoSpacing"/>
              <w:jc w:val="center"/>
              <w:rPr>
                <w:sz w:val="16"/>
                <w:szCs w:val="16"/>
              </w:rPr>
            </w:pPr>
          </w:p>
        </w:tc>
      </w:tr>
    </w:tbl>
    <w:p w14:paraId="2E5AC09F" w14:textId="6A9C5027" w:rsidR="00A93467" w:rsidRDefault="00A93467" w:rsidP="00515887">
      <w:pPr>
        <w:pStyle w:val="NoSpacing"/>
      </w:pPr>
    </w:p>
    <w:p w14:paraId="0AA4A71D" w14:textId="77777777" w:rsidR="00831E03" w:rsidRPr="00003BA1" w:rsidRDefault="452BCD32" w:rsidP="452BCD32">
      <w:pPr>
        <w:pStyle w:val="NoSpacing"/>
        <w:outlineLvl w:val="0"/>
        <w:rPr>
          <w:b/>
          <w:bCs/>
          <w:color w:val="002060"/>
          <w:sz w:val="28"/>
          <w:szCs w:val="28"/>
        </w:rPr>
      </w:pPr>
      <w:r w:rsidRPr="452BCD32">
        <w:rPr>
          <w:b/>
          <w:bCs/>
          <w:color w:val="002060"/>
          <w:sz w:val="28"/>
          <w:szCs w:val="28"/>
        </w:rPr>
        <w:t>Program Proposals</w:t>
      </w:r>
    </w:p>
    <w:p w14:paraId="69ABC1F3" w14:textId="32FF0F10" w:rsidR="00003BA1" w:rsidRDefault="452BCD32" w:rsidP="00831E03">
      <w:pPr>
        <w:pStyle w:val="NoSpacing"/>
      </w:pPr>
      <w:r>
        <w:t>Faculty members and researchers wishing to access Rebel Research Scholars services for their experiential learning program participants must submit proposals via email to the Rebel Research Scholars Committee (</w:t>
      </w:r>
      <w:hyperlink r:id="rId7">
        <w:r w:rsidRPr="452BCD32">
          <w:rPr>
            <w:rStyle w:val="Hyperlink"/>
          </w:rPr>
          <w:t>precollege@olemiss.edu</w:t>
        </w:r>
      </w:hyperlink>
      <w:r>
        <w:t xml:space="preserve">) no later than </w:t>
      </w:r>
      <w:r w:rsidRPr="452BCD32">
        <w:rPr>
          <w:b/>
          <w:bCs/>
        </w:rPr>
        <w:t>March 1st</w:t>
      </w:r>
      <w:r>
        <w:t>.</w:t>
      </w:r>
    </w:p>
    <w:p w14:paraId="7D3C6CE0" w14:textId="77777777" w:rsidR="00003BA1" w:rsidRDefault="00003BA1" w:rsidP="00831E03">
      <w:pPr>
        <w:pStyle w:val="NoSpacing"/>
      </w:pPr>
    </w:p>
    <w:p w14:paraId="1229D945" w14:textId="23606F6F" w:rsidR="00003BA1" w:rsidRDefault="452BCD32" w:rsidP="00831E03">
      <w:pPr>
        <w:pStyle w:val="NoSpacing"/>
      </w:pPr>
      <w:r>
        <w:t>A complete Rebel Research Scholars proposal should include:</w:t>
      </w:r>
    </w:p>
    <w:p w14:paraId="6A80E456" w14:textId="77777777" w:rsidR="00003BA1" w:rsidRDefault="452BCD32" w:rsidP="00003BA1">
      <w:pPr>
        <w:pStyle w:val="NoSpacing"/>
        <w:numPr>
          <w:ilvl w:val="0"/>
          <w:numId w:val="2"/>
        </w:numPr>
      </w:pPr>
      <w:r>
        <w:t>Details of the program, including general schedule (required)</w:t>
      </w:r>
    </w:p>
    <w:p w14:paraId="6DC4A0E3" w14:textId="77777777" w:rsidR="00003BA1" w:rsidRDefault="452BCD32" w:rsidP="00003BA1">
      <w:pPr>
        <w:pStyle w:val="NoSpacing"/>
        <w:numPr>
          <w:ilvl w:val="0"/>
          <w:numId w:val="2"/>
        </w:numPr>
      </w:pPr>
      <w:r>
        <w:t>Data field listing for application (required)</w:t>
      </w:r>
    </w:p>
    <w:p w14:paraId="2B5D2904" w14:textId="2C2EAED6" w:rsidR="00403AB0" w:rsidRDefault="00272AE6" w:rsidP="00003BA1">
      <w:pPr>
        <w:pStyle w:val="NoSpacing"/>
        <w:numPr>
          <w:ilvl w:val="0"/>
          <w:numId w:val="2"/>
        </w:numPr>
      </w:pPr>
      <w:r>
        <w:t xml:space="preserve">Copy of the </w:t>
      </w:r>
      <w:r w:rsidR="452BCD32">
        <w:t>Experiential Program Request Form that has been marked Approved by the Experiential Program Review Board (strongly recommended, especially if any students are to receive participation stipends)</w:t>
      </w:r>
    </w:p>
    <w:p w14:paraId="2FFB3E5E" w14:textId="5F68B74E" w:rsidR="00BC20F8" w:rsidRDefault="452BCD32" w:rsidP="00BC20F8">
      <w:pPr>
        <w:pStyle w:val="NoSpacing"/>
        <w:numPr>
          <w:ilvl w:val="0"/>
          <w:numId w:val="2"/>
        </w:numPr>
      </w:pPr>
      <w:r>
        <w:t>Confirmation that the program has been reviewed by the High School Research Advisory Committee (strongly recommended, to minimize health and safety risks to minors, and liability risks for the university)</w:t>
      </w:r>
    </w:p>
    <w:sectPr w:rsidR="00BC20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B0693" w14:textId="77777777" w:rsidR="008510CF" w:rsidRDefault="008510CF" w:rsidP="00FB17E8">
      <w:pPr>
        <w:spacing w:after="0" w:line="240" w:lineRule="auto"/>
      </w:pPr>
      <w:r>
        <w:separator/>
      </w:r>
    </w:p>
  </w:endnote>
  <w:endnote w:type="continuationSeparator" w:id="0">
    <w:p w14:paraId="4808A2DA" w14:textId="77777777" w:rsidR="008510CF" w:rsidRDefault="008510CF" w:rsidP="00FB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A359" w14:textId="77777777" w:rsidR="00FA66AE" w:rsidRDefault="00FA66AE">
    <w:pPr>
      <w:pStyle w:val="Footer"/>
    </w:pPr>
    <w:r>
      <w:t>Office of Pre-College Programs</w:t>
    </w:r>
    <w:r>
      <w:tab/>
    </w:r>
    <w:r>
      <w:tab/>
      <w:t>UM Division of Outreach and Continuing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7C89C" w14:textId="77777777" w:rsidR="008510CF" w:rsidRDefault="008510CF" w:rsidP="00FB17E8">
      <w:pPr>
        <w:spacing w:after="0" w:line="240" w:lineRule="auto"/>
      </w:pPr>
      <w:r>
        <w:separator/>
      </w:r>
    </w:p>
  </w:footnote>
  <w:footnote w:type="continuationSeparator" w:id="0">
    <w:p w14:paraId="5DC931FD" w14:textId="77777777" w:rsidR="008510CF" w:rsidRDefault="008510CF" w:rsidP="00FB17E8">
      <w:pPr>
        <w:spacing w:after="0" w:line="240" w:lineRule="auto"/>
      </w:pPr>
      <w:r>
        <w:continuationSeparator/>
      </w:r>
    </w:p>
  </w:footnote>
  <w:footnote w:id="1">
    <w:p w14:paraId="44E8E7D7" w14:textId="77777777" w:rsidR="00FA66AE" w:rsidRDefault="00FA66AE" w:rsidP="004827B6">
      <w:r>
        <w:rPr>
          <w:rStyle w:val="FootnoteReference"/>
        </w:rPr>
        <w:footnoteRef/>
      </w:r>
      <w:r>
        <w:t xml:space="preserve"> </w:t>
      </w:r>
      <w:r>
        <w:rPr>
          <w:sz w:val="20"/>
          <w:szCs w:val="20"/>
        </w:rPr>
        <w:t>A</w:t>
      </w:r>
      <w:r w:rsidRPr="004827B6">
        <w:rPr>
          <w:sz w:val="20"/>
          <w:szCs w:val="20"/>
        </w:rPr>
        <w:t xml:space="preserve"> </w:t>
      </w:r>
      <w:r w:rsidRPr="452BCD32">
        <w:rPr>
          <w:i/>
          <w:iCs/>
          <w:sz w:val="20"/>
          <w:szCs w:val="20"/>
        </w:rPr>
        <w:t xml:space="preserve">Resource Guide for Involving High School Students in Research </w:t>
      </w:r>
      <w:r>
        <w:rPr>
          <w:sz w:val="20"/>
          <w:szCs w:val="20"/>
        </w:rPr>
        <w:t xml:space="preserve">has been developed, which discusses the role of the </w:t>
      </w:r>
      <w:r w:rsidRPr="452BCD32">
        <w:rPr>
          <w:i/>
          <w:iCs/>
          <w:sz w:val="20"/>
          <w:szCs w:val="20"/>
        </w:rPr>
        <w:t>High School Research Advisory Committee</w:t>
      </w:r>
      <w:r>
        <w:rPr>
          <w:sz w:val="20"/>
          <w:szCs w:val="20"/>
        </w:rPr>
        <w:t>.</w:t>
      </w:r>
      <w:r w:rsidRPr="00BC20F8">
        <w:rPr>
          <w:sz w:val="20"/>
          <w:szCs w:val="20"/>
        </w:rPr>
        <w:t xml:space="preserve"> </w:t>
      </w:r>
      <w:r>
        <w:rPr>
          <w:sz w:val="20"/>
          <w:szCs w:val="20"/>
        </w:rPr>
        <w:t xml:space="preserve">See </w:t>
      </w:r>
      <w:hyperlink r:id="rId1" w:history="1">
        <w:r w:rsidRPr="004827B6">
          <w:rPr>
            <w:rStyle w:val="Hyperlink"/>
            <w:sz w:val="20"/>
            <w:szCs w:val="20"/>
          </w:rPr>
          <w:t>http://research.olemiss.edu/resources/students</w:t>
        </w:r>
      </w:hyperlink>
      <w:r w:rsidRPr="004827B6">
        <w:rPr>
          <w:sz w:val="20"/>
          <w:szCs w:val="20"/>
        </w:rPr>
        <w:t>.</w:t>
      </w:r>
    </w:p>
  </w:footnote>
  <w:footnote w:id="2">
    <w:p w14:paraId="36130E54" w14:textId="77777777" w:rsidR="00FA66AE" w:rsidRDefault="00FA66AE">
      <w:pPr>
        <w:pStyle w:val="FootnoteText"/>
      </w:pPr>
      <w:r>
        <w:rPr>
          <w:rStyle w:val="FootnoteReference"/>
        </w:rPr>
        <w:footnoteRef/>
      </w:r>
      <w:r>
        <w:t xml:space="preserve"> </w:t>
      </w:r>
      <w:r w:rsidRPr="004827B6">
        <w:rPr>
          <w:sz w:val="20"/>
          <w:szCs w:val="20"/>
        </w:rPr>
        <w:t>Advanced institutional approval is strongly recommended for proposed experiential learning programs that may involve disbursement of funds to program participants—whether as participation stipends or financial aid; this program approval may be a pre-requisite for accessing Rebel Research Scholars services. Download the Student Program Request From at</w:t>
      </w:r>
      <w:r>
        <w:t xml:space="preserve"> </w:t>
      </w:r>
      <w:hyperlink r:id="rId2" w:history="1">
        <w:r w:rsidRPr="004827B6">
          <w:rPr>
            <w:rStyle w:val="Hyperlink"/>
            <w:sz w:val="20"/>
            <w:szCs w:val="20"/>
          </w:rPr>
          <w:t>http://research.olemiss.edu/resources/students</w:t>
        </w:r>
      </w:hyperlink>
      <w:r w:rsidRPr="004827B6">
        <w:rPr>
          <w:sz w:val="20"/>
          <w:szCs w:val="20"/>
        </w:rPr>
        <w:t xml:space="preserve"> for more information about the program approval process</w:t>
      </w:r>
      <w:r>
        <w:t>.</w:t>
      </w:r>
    </w:p>
  </w:footnote>
  <w:footnote w:id="3">
    <w:p w14:paraId="14198396" w14:textId="0941F8F7" w:rsidR="001E5A7C" w:rsidRPr="008871B0" w:rsidRDefault="001E5A7C" w:rsidP="00660EA3">
      <w:pPr>
        <w:pStyle w:val="NoSpacing"/>
        <w:rPr>
          <w:sz w:val="20"/>
          <w:szCs w:val="20"/>
        </w:rPr>
      </w:pPr>
      <w:r w:rsidRPr="008871B0">
        <w:rPr>
          <w:rStyle w:val="FootnoteReference"/>
          <w:sz w:val="20"/>
          <w:szCs w:val="20"/>
        </w:rPr>
        <w:footnoteRef/>
      </w:r>
      <w:r w:rsidRPr="008871B0">
        <w:rPr>
          <w:sz w:val="20"/>
          <w:szCs w:val="20"/>
        </w:rPr>
        <w:t xml:space="preserve"> Residential - Credit costs are based on the current Summer College (SC) model cost breakdown.</w:t>
      </w:r>
    </w:p>
    <w:p w14:paraId="42F8C6BD" w14:textId="685BCC4D" w:rsidR="001E5A7C" w:rsidRPr="008871B0" w:rsidRDefault="001E5A7C" w:rsidP="00660EA3">
      <w:pPr>
        <w:pStyle w:val="NoSpacing"/>
        <w:rPr>
          <w:sz w:val="20"/>
          <w:szCs w:val="20"/>
        </w:rPr>
      </w:pPr>
      <w:r w:rsidRPr="008871B0">
        <w:rPr>
          <w:sz w:val="20"/>
          <w:szCs w:val="20"/>
          <w:vertAlign w:val="superscript"/>
        </w:rPr>
        <w:t>4</w:t>
      </w:r>
      <w:r w:rsidRPr="008871B0">
        <w:rPr>
          <w:sz w:val="20"/>
          <w:szCs w:val="20"/>
        </w:rPr>
        <w:t xml:space="preserve"> Commuters – Commuter </w:t>
      </w:r>
      <w:r>
        <w:rPr>
          <w:sz w:val="20"/>
          <w:szCs w:val="20"/>
        </w:rPr>
        <w:t>participants</w:t>
      </w:r>
      <w:r w:rsidRPr="008871B0">
        <w:rPr>
          <w:sz w:val="20"/>
          <w:szCs w:val="20"/>
        </w:rPr>
        <w:t xml:space="preserve"> do not fall under the supervision of the Office of Pre-College Programs. </w:t>
      </w:r>
      <w:r>
        <w:rPr>
          <w:sz w:val="20"/>
          <w:szCs w:val="20"/>
        </w:rPr>
        <w:t xml:space="preserve">  </w:t>
      </w:r>
      <w:r w:rsidRPr="008871B0">
        <w:rPr>
          <w:sz w:val="20"/>
          <w:szCs w:val="20"/>
        </w:rPr>
        <w:t xml:space="preserve">Commuting </w:t>
      </w:r>
      <w:r>
        <w:rPr>
          <w:sz w:val="20"/>
          <w:szCs w:val="20"/>
        </w:rPr>
        <w:t>Rebel Research Scholars who are in the p</w:t>
      </w:r>
      <w:r w:rsidRPr="008871B0">
        <w:rPr>
          <w:sz w:val="20"/>
          <w:szCs w:val="20"/>
        </w:rPr>
        <w:t xml:space="preserve">rogram for four weeks, however, are welcome to join the Summer College </w:t>
      </w:r>
      <w:r>
        <w:rPr>
          <w:sz w:val="20"/>
          <w:szCs w:val="20"/>
        </w:rPr>
        <w:t xml:space="preserve">programming and </w:t>
      </w:r>
      <w:r w:rsidRPr="008871B0">
        <w:rPr>
          <w:sz w:val="20"/>
          <w:szCs w:val="20"/>
        </w:rPr>
        <w:t xml:space="preserve">activities for the </w:t>
      </w:r>
      <w:r>
        <w:rPr>
          <w:sz w:val="20"/>
          <w:szCs w:val="20"/>
        </w:rPr>
        <w:t>amounts noted under the residential non-credit fees</w:t>
      </w:r>
      <w:r w:rsidRPr="008871B0">
        <w:rPr>
          <w:sz w:val="20"/>
          <w:szCs w:val="20"/>
        </w:rPr>
        <w:t>. Interested students should contact the Office of Pre-College Programs.</w:t>
      </w:r>
    </w:p>
    <w:p w14:paraId="05ADFFED" w14:textId="47DBA161" w:rsidR="001E5A7C" w:rsidRPr="008871B0" w:rsidRDefault="001E5A7C" w:rsidP="00660EA3">
      <w:pPr>
        <w:pStyle w:val="NoSpacing"/>
        <w:rPr>
          <w:sz w:val="20"/>
          <w:szCs w:val="20"/>
        </w:rPr>
      </w:pPr>
      <w:r w:rsidRPr="008871B0">
        <w:rPr>
          <w:sz w:val="20"/>
          <w:szCs w:val="20"/>
          <w:vertAlign w:val="superscript"/>
        </w:rPr>
        <w:t>5</w:t>
      </w:r>
      <w:r w:rsidRPr="008871B0">
        <w:rPr>
          <w:sz w:val="20"/>
          <w:szCs w:val="20"/>
        </w:rPr>
        <w:t xml:space="preserve">Weekend Entertainment and Travel Fee </w:t>
      </w:r>
      <w:r w:rsidR="004F06D8">
        <w:rPr>
          <w:sz w:val="20"/>
          <w:szCs w:val="20"/>
        </w:rPr>
        <w:t>and Turner Center Fee</w:t>
      </w:r>
      <w:r w:rsidRPr="008871B0">
        <w:rPr>
          <w:sz w:val="20"/>
          <w:szCs w:val="20"/>
        </w:rPr>
        <w:t xml:space="preserve">– Weekend Entertainment and Travel Fees </w:t>
      </w:r>
      <w:r w:rsidR="004F06D8">
        <w:rPr>
          <w:sz w:val="20"/>
          <w:szCs w:val="20"/>
        </w:rPr>
        <w:t xml:space="preserve">and Turner Center Fees </w:t>
      </w:r>
      <w:r w:rsidRPr="008871B0">
        <w:rPr>
          <w:sz w:val="20"/>
          <w:szCs w:val="20"/>
        </w:rPr>
        <w:t xml:space="preserve">may or may not allowable as an expense in </w:t>
      </w:r>
      <w:r>
        <w:rPr>
          <w:sz w:val="20"/>
          <w:szCs w:val="20"/>
        </w:rPr>
        <w:t>most grant</w:t>
      </w:r>
      <w:r w:rsidRPr="008871B0">
        <w:rPr>
          <w:sz w:val="20"/>
          <w:szCs w:val="20"/>
        </w:rPr>
        <w:t xml:space="preserve"> budget</w:t>
      </w:r>
      <w:r>
        <w:rPr>
          <w:sz w:val="20"/>
          <w:szCs w:val="20"/>
        </w:rPr>
        <w:t>s</w:t>
      </w:r>
      <w:r w:rsidRPr="008871B0">
        <w:rPr>
          <w:sz w:val="20"/>
          <w:szCs w:val="20"/>
        </w:rPr>
        <w:t>.  If the expense i</w:t>
      </w:r>
      <w:r>
        <w:rPr>
          <w:sz w:val="20"/>
          <w:szCs w:val="20"/>
        </w:rPr>
        <w:t>s not allowable, the participant</w:t>
      </w:r>
      <w:r w:rsidRPr="008871B0">
        <w:rPr>
          <w:sz w:val="20"/>
          <w:szCs w:val="20"/>
        </w:rPr>
        <w:t xml:space="preserve"> cost may be paid from an overhead account or the </w:t>
      </w:r>
      <w:r>
        <w:rPr>
          <w:sz w:val="20"/>
          <w:szCs w:val="20"/>
        </w:rPr>
        <w:t>participant</w:t>
      </w:r>
      <w:r w:rsidRPr="008871B0">
        <w:rPr>
          <w:sz w:val="20"/>
          <w:szCs w:val="20"/>
        </w:rPr>
        <w:t xml:space="preserve"> may cover the cost individually.</w:t>
      </w:r>
    </w:p>
    <w:p w14:paraId="31D9C784" w14:textId="26C79AB8" w:rsidR="001E5A7C" w:rsidRDefault="001E5A7C">
      <w:pPr>
        <w:pStyle w:val="FootnoteText"/>
      </w:pPr>
      <w:r w:rsidRPr="00A93467">
        <w:rPr>
          <w:vertAlign w:val="superscript"/>
        </w:rPr>
        <w:t>6</w:t>
      </w:r>
      <w:r>
        <w:t xml:space="preserve"> </w:t>
      </w:r>
      <w:r w:rsidRPr="00A93467">
        <w:rPr>
          <w:sz w:val="20"/>
          <w:szCs w:val="20"/>
        </w:rPr>
        <w:t>Program Costs do not include UM Parking and Transportation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97621"/>
    <w:multiLevelType w:val="hybridMultilevel"/>
    <w:tmpl w:val="2BA4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A4D40"/>
    <w:multiLevelType w:val="hybridMultilevel"/>
    <w:tmpl w:val="8728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3"/>
    <w:rsid w:val="00003BA1"/>
    <w:rsid w:val="000A2F38"/>
    <w:rsid w:val="00142059"/>
    <w:rsid w:val="00166451"/>
    <w:rsid w:val="00175048"/>
    <w:rsid w:val="001E5A7C"/>
    <w:rsid w:val="00215FFC"/>
    <w:rsid w:val="0022413B"/>
    <w:rsid w:val="00272AE6"/>
    <w:rsid w:val="002C49F6"/>
    <w:rsid w:val="002E3EBD"/>
    <w:rsid w:val="003C550E"/>
    <w:rsid w:val="003F7CBE"/>
    <w:rsid w:val="00403AB0"/>
    <w:rsid w:val="004461FE"/>
    <w:rsid w:val="004827B6"/>
    <w:rsid w:val="004E02FD"/>
    <w:rsid w:val="004F06D8"/>
    <w:rsid w:val="005117A2"/>
    <w:rsid w:val="00515887"/>
    <w:rsid w:val="0062057C"/>
    <w:rsid w:val="00641DFB"/>
    <w:rsid w:val="006540C9"/>
    <w:rsid w:val="00660EA3"/>
    <w:rsid w:val="007A58BD"/>
    <w:rsid w:val="007C746A"/>
    <w:rsid w:val="00803830"/>
    <w:rsid w:val="00807B3C"/>
    <w:rsid w:val="00831E03"/>
    <w:rsid w:val="00833A22"/>
    <w:rsid w:val="008510CF"/>
    <w:rsid w:val="008871B0"/>
    <w:rsid w:val="00923B9E"/>
    <w:rsid w:val="0095672B"/>
    <w:rsid w:val="00962CF7"/>
    <w:rsid w:val="00A82738"/>
    <w:rsid w:val="00A93467"/>
    <w:rsid w:val="00AA44BE"/>
    <w:rsid w:val="00B40F38"/>
    <w:rsid w:val="00BB04BB"/>
    <w:rsid w:val="00BC20F8"/>
    <w:rsid w:val="00BD0CA4"/>
    <w:rsid w:val="00C354ED"/>
    <w:rsid w:val="00E1107E"/>
    <w:rsid w:val="00F56C11"/>
    <w:rsid w:val="00FA66AE"/>
    <w:rsid w:val="00FB17E8"/>
    <w:rsid w:val="452BC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A7B56"/>
  <w15:docId w15:val="{734BC809-9C1A-C444-80E4-78EB23BB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E03"/>
    <w:pPr>
      <w:spacing w:after="0" w:line="240" w:lineRule="auto"/>
    </w:pPr>
  </w:style>
  <w:style w:type="table" w:styleId="TableGrid">
    <w:name w:val="Table Grid"/>
    <w:basedOn w:val="TableNormal"/>
    <w:uiPriority w:val="39"/>
    <w:rsid w:val="002C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CA4"/>
    <w:rPr>
      <w:rFonts w:ascii="Segoe UI" w:hAnsi="Segoe UI" w:cs="Segoe UI"/>
      <w:sz w:val="18"/>
      <w:szCs w:val="18"/>
    </w:rPr>
  </w:style>
  <w:style w:type="character" w:styleId="CommentReference">
    <w:name w:val="annotation reference"/>
    <w:basedOn w:val="DefaultParagraphFont"/>
    <w:uiPriority w:val="99"/>
    <w:semiHidden/>
    <w:unhideWhenUsed/>
    <w:rsid w:val="00FB17E8"/>
    <w:rPr>
      <w:sz w:val="18"/>
      <w:szCs w:val="18"/>
    </w:rPr>
  </w:style>
  <w:style w:type="paragraph" w:styleId="CommentText">
    <w:name w:val="annotation text"/>
    <w:basedOn w:val="Normal"/>
    <w:link w:val="CommentTextChar"/>
    <w:uiPriority w:val="99"/>
    <w:semiHidden/>
    <w:unhideWhenUsed/>
    <w:rsid w:val="00FB17E8"/>
    <w:pPr>
      <w:spacing w:line="240" w:lineRule="auto"/>
    </w:pPr>
    <w:rPr>
      <w:sz w:val="24"/>
      <w:szCs w:val="24"/>
    </w:rPr>
  </w:style>
  <w:style w:type="character" w:customStyle="1" w:styleId="CommentTextChar">
    <w:name w:val="Comment Text Char"/>
    <w:basedOn w:val="DefaultParagraphFont"/>
    <w:link w:val="CommentText"/>
    <w:uiPriority w:val="99"/>
    <w:semiHidden/>
    <w:rsid w:val="00FB17E8"/>
    <w:rPr>
      <w:sz w:val="24"/>
      <w:szCs w:val="24"/>
    </w:rPr>
  </w:style>
  <w:style w:type="paragraph" w:styleId="CommentSubject">
    <w:name w:val="annotation subject"/>
    <w:basedOn w:val="CommentText"/>
    <w:next w:val="CommentText"/>
    <w:link w:val="CommentSubjectChar"/>
    <w:uiPriority w:val="99"/>
    <w:semiHidden/>
    <w:unhideWhenUsed/>
    <w:rsid w:val="00FB17E8"/>
    <w:rPr>
      <w:b/>
      <w:bCs/>
      <w:sz w:val="20"/>
      <w:szCs w:val="20"/>
    </w:rPr>
  </w:style>
  <w:style w:type="character" w:customStyle="1" w:styleId="CommentSubjectChar">
    <w:name w:val="Comment Subject Char"/>
    <w:basedOn w:val="CommentTextChar"/>
    <w:link w:val="CommentSubject"/>
    <w:uiPriority w:val="99"/>
    <w:semiHidden/>
    <w:rsid w:val="00FB17E8"/>
    <w:rPr>
      <w:b/>
      <w:bCs/>
      <w:sz w:val="20"/>
      <w:szCs w:val="20"/>
    </w:rPr>
  </w:style>
  <w:style w:type="paragraph" w:styleId="FootnoteText">
    <w:name w:val="footnote text"/>
    <w:basedOn w:val="Normal"/>
    <w:link w:val="FootnoteTextChar"/>
    <w:uiPriority w:val="99"/>
    <w:unhideWhenUsed/>
    <w:rsid w:val="00FB17E8"/>
    <w:pPr>
      <w:spacing w:after="0" w:line="240" w:lineRule="auto"/>
    </w:pPr>
    <w:rPr>
      <w:sz w:val="24"/>
      <w:szCs w:val="24"/>
    </w:rPr>
  </w:style>
  <w:style w:type="character" w:customStyle="1" w:styleId="FootnoteTextChar">
    <w:name w:val="Footnote Text Char"/>
    <w:basedOn w:val="DefaultParagraphFont"/>
    <w:link w:val="FootnoteText"/>
    <w:uiPriority w:val="99"/>
    <w:rsid w:val="00FB17E8"/>
    <w:rPr>
      <w:sz w:val="24"/>
      <w:szCs w:val="24"/>
    </w:rPr>
  </w:style>
  <w:style w:type="character" w:styleId="FootnoteReference">
    <w:name w:val="footnote reference"/>
    <w:basedOn w:val="DefaultParagraphFont"/>
    <w:uiPriority w:val="99"/>
    <w:unhideWhenUsed/>
    <w:rsid w:val="00FB17E8"/>
    <w:rPr>
      <w:vertAlign w:val="superscript"/>
    </w:rPr>
  </w:style>
  <w:style w:type="character" w:styleId="Hyperlink">
    <w:name w:val="Hyperlink"/>
    <w:basedOn w:val="DefaultParagraphFont"/>
    <w:uiPriority w:val="99"/>
    <w:unhideWhenUsed/>
    <w:rsid w:val="00175048"/>
    <w:rPr>
      <w:color w:val="0563C1" w:themeColor="hyperlink"/>
      <w:u w:val="single"/>
    </w:rPr>
  </w:style>
  <w:style w:type="character" w:styleId="Strong">
    <w:name w:val="Strong"/>
    <w:basedOn w:val="DefaultParagraphFont"/>
    <w:uiPriority w:val="22"/>
    <w:qFormat/>
    <w:rsid w:val="00175048"/>
    <w:rPr>
      <w:b/>
      <w:bCs/>
    </w:rPr>
  </w:style>
  <w:style w:type="paragraph" w:styleId="Header">
    <w:name w:val="header"/>
    <w:basedOn w:val="Normal"/>
    <w:link w:val="HeaderChar"/>
    <w:uiPriority w:val="99"/>
    <w:unhideWhenUsed/>
    <w:rsid w:val="00BC20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20F8"/>
  </w:style>
  <w:style w:type="paragraph" w:styleId="Footer">
    <w:name w:val="footer"/>
    <w:basedOn w:val="Normal"/>
    <w:link w:val="FooterChar"/>
    <w:uiPriority w:val="99"/>
    <w:unhideWhenUsed/>
    <w:rsid w:val="00BC20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20F8"/>
  </w:style>
  <w:style w:type="paragraph" w:styleId="Revision">
    <w:name w:val="Revision"/>
    <w:hidden/>
    <w:uiPriority w:val="99"/>
    <w:semiHidden/>
    <w:rsid w:val="004827B6"/>
    <w:pPr>
      <w:spacing w:after="0" w:line="240" w:lineRule="auto"/>
    </w:pPr>
  </w:style>
  <w:style w:type="character" w:styleId="UnresolvedMention">
    <w:name w:val="Unresolved Mention"/>
    <w:basedOn w:val="DefaultParagraphFont"/>
    <w:uiPriority w:val="99"/>
    <w:semiHidden/>
    <w:unhideWhenUsed/>
    <w:rsid w:val="004827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0170">
      <w:bodyDiv w:val="1"/>
      <w:marLeft w:val="0"/>
      <w:marRight w:val="0"/>
      <w:marTop w:val="0"/>
      <w:marBottom w:val="0"/>
      <w:divBdr>
        <w:top w:val="none" w:sz="0" w:space="0" w:color="auto"/>
        <w:left w:val="none" w:sz="0" w:space="0" w:color="auto"/>
        <w:bottom w:val="none" w:sz="0" w:space="0" w:color="auto"/>
        <w:right w:val="none" w:sz="0" w:space="0" w:color="auto"/>
      </w:divBdr>
    </w:div>
    <w:div w:id="513693096">
      <w:bodyDiv w:val="1"/>
      <w:marLeft w:val="0"/>
      <w:marRight w:val="0"/>
      <w:marTop w:val="0"/>
      <w:marBottom w:val="0"/>
      <w:divBdr>
        <w:top w:val="none" w:sz="0" w:space="0" w:color="auto"/>
        <w:left w:val="none" w:sz="0" w:space="0" w:color="auto"/>
        <w:bottom w:val="none" w:sz="0" w:space="0" w:color="auto"/>
        <w:right w:val="none" w:sz="0" w:space="0" w:color="auto"/>
      </w:divBdr>
    </w:div>
    <w:div w:id="645666026">
      <w:bodyDiv w:val="1"/>
      <w:marLeft w:val="0"/>
      <w:marRight w:val="0"/>
      <w:marTop w:val="0"/>
      <w:marBottom w:val="0"/>
      <w:divBdr>
        <w:top w:val="none" w:sz="0" w:space="0" w:color="auto"/>
        <w:left w:val="none" w:sz="0" w:space="0" w:color="auto"/>
        <w:bottom w:val="none" w:sz="0" w:space="0" w:color="auto"/>
        <w:right w:val="none" w:sz="0" w:space="0" w:color="auto"/>
      </w:divBdr>
    </w:div>
    <w:div w:id="1010528117">
      <w:bodyDiv w:val="1"/>
      <w:marLeft w:val="0"/>
      <w:marRight w:val="0"/>
      <w:marTop w:val="0"/>
      <w:marBottom w:val="0"/>
      <w:divBdr>
        <w:top w:val="none" w:sz="0" w:space="0" w:color="auto"/>
        <w:left w:val="none" w:sz="0" w:space="0" w:color="auto"/>
        <w:bottom w:val="none" w:sz="0" w:space="0" w:color="auto"/>
        <w:right w:val="none" w:sz="0" w:space="0" w:color="auto"/>
      </w:divBdr>
    </w:div>
    <w:div w:id="1107315576">
      <w:bodyDiv w:val="1"/>
      <w:marLeft w:val="0"/>
      <w:marRight w:val="0"/>
      <w:marTop w:val="0"/>
      <w:marBottom w:val="0"/>
      <w:divBdr>
        <w:top w:val="none" w:sz="0" w:space="0" w:color="auto"/>
        <w:left w:val="none" w:sz="0" w:space="0" w:color="auto"/>
        <w:bottom w:val="none" w:sz="0" w:space="0" w:color="auto"/>
        <w:right w:val="none" w:sz="0" w:space="0" w:color="auto"/>
      </w:divBdr>
    </w:div>
    <w:div w:id="1241333104">
      <w:bodyDiv w:val="1"/>
      <w:marLeft w:val="0"/>
      <w:marRight w:val="0"/>
      <w:marTop w:val="0"/>
      <w:marBottom w:val="0"/>
      <w:divBdr>
        <w:top w:val="none" w:sz="0" w:space="0" w:color="auto"/>
        <w:left w:val="none" w:sz="0" w:space="0" w:color="auto"/>
        <w:bottom w:val="none" w:sz="0" w:space="0" w:color="auto"/>
        <w:right w:val="none" w:sz="0" w:space="0" w:color="auto"/>
      </w:divBdr>
    </w:div>
    <w:div w:id="1518735024">
      <w:bodyDiv w:val="1"/>
      <w:marLeft w:val="0"/>
      <w:marRight w:val="0"/>
      <w:marTop w:val="0"/>
      <w:marBottom w:val="0"/>
      <w:divBdr>
        <w:top w:val="none" w:sz="0" w:space="0" w:color="auto"/>
        <w:left w:val="none" w:sz="0" w:space="0" w:color="auto"/>
        <w:bottom w:val="none" w:sz="0" w:space="0" w:color="auto"/>
        <w:right w:val="none" w:sz="0" w:space="0" w:color="auto"/>
      </w:divBdr>
    </w:div>
    <w:div w:id="17758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college@olemis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search.olemiss.edu/resources/students" TargetMode="External"/><Relationship Id="rId1" Type="http://schemas.openxmlformats.org/officeDocument/2006/relationships/hyperlink" Target="http://research.olemiss.edu/resource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Mississippi</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DeLoach</dc:creator>
  <cp:keywords/>
  <dc:description/>
  <cp:lastModifiedBy>Jason H.</cp:lastModifiedBy>
  <cp:revision>2</cp:revision>
  <cp:lastPrinted>2018-02-07T23:37:00Z</cp:lastPrinted>
  <dcterms:created xsi:type="dcterms:W3CDTF">2019-05-01T18:44:00Z</dcterms:created>
  <dcterms:modified xsi:type="dcterms:W3CDTF">2019-05-01T18:44:00Z</dcterms:modified>
</cp:coreProperties>
</file>